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2500" w:type="pct"/>
        <w:tblCellSpacing w:w="15" w:type="dxa"/>
        <w:tblInd w:w="30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770"/>
      </w:tblGrid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Документ подписан ЭП от 30.11.2023 12:16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Владелец: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Николаев Константин Николаевич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ГЛАВА АТЯШЕВСКОГО МУНИЦИПАЛЬНОГО РАЙОНА РЕСПУБЛИКИ МОРДОВИЯ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АДМИНИСТРАЦИЯ АТЯШЕВСКОГО МУНИЦИПАЛЬНОГО РАЙОНА РЕСПУБЛИКИ МОРДОВИЯ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Сертификат: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00C24C17B651D07C0DB64D4B47BFF6DA1E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Алгоритм: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ГОСТ Р 34.10-2012 256 бит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Действителен: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 03.05.2023 по 26.07.2024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Издатель: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Казначейство России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pStyle w:val="630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Р Е Ш Е Н И Е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0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 СОВЕТА ДЕПУТАТОВ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0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АТЯШЕВСКОГО МУНИЦИПАЛЬНОГО РАЙОНА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0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Республики Мордовия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Bdr/>
        <w:spacing w:after="240" w:before="240"/>
        <w:ind/>
        <w:rPr/>
      </w:pPr>
      <w:r>
        <w:t xml:space="preserve"> </w:t>
      </w:r>
      <w:r/>
    </w:p>
    <w:p>
      <w:pPr>
        <w:pStyle w:val="633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21.11.2023 г.                 № 45   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pStyle w:val="633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 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pStyle w:val="633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р.п.Атяшево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pBdr/>
        <w:spacing w:after="240" w:before="240"/>
        <w:ind/>
        <w:rPr/>
      </w:pPr>
      <w:r>
        <w:t xml:space="preserve"> </w:t>
      </w:r>
      <w:r/>
    </w:p>
    <w:p>
      <w:pPr>
        <w:pStyle w:val="631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О</w:t>
      </w: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 внесении изменений в решение Совета депутатов Атяшевского муниципального района от 13 июля 2006 года № 59 "ОБ УСТАНОВЛЕНИИ РАЗМЕРОВ И УСЛОВИЙ ОПЛАТЫ ТРУДА ГЛАВЫ АТЯШЕВСКОГО МУНИЦИПАЛЬНОГО РАЙОНА И МУНИЦИПАЛЬНЫХ СЛУЖАЩИХ АТЯШЕВСКОГО  МУНИЦИПАЛЬНОГО РАЙОНА"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3"/>
        <w:keepNext w:val="false"/>
        <w:pBdr/>
        <w:spacing w:after="319" w:before="319"/>
        <w:ind/>
        <w:rPr>
          <w:b/>
          <w:bCs/>
        </w:rPr>
      </w:pPr>
      <w:r>
        <w:rPr>
          <w:rFonts w:ascii="Times New Roman" w:hAnsi="Times New Roman" w:eastAsia="Times New Roman" w:cs="Times New Roman"/>
          <w:i w:val="0"/>
        </w:rPr>
        <w:t xml:space="preserve"> </w:t>
      </w:r>
      <w:r>
        <w:rPr>
          <w:b/>
          <w:bCs/>
        </w:rPr>
      </w:r>
    </w:p>
    <w:p>
      <w:pPr>
        <w:pStyle w:val="633"/>
        <w:keepNext w:val="false"/>
        <w:pBdr/>
        <w:spacing w:after="319" w:before="319"/>
        <w:ind/>
        <w:rPr>
          <w:b/>
          <w:bCs/>
        </w:rPr>
      </w:pPr>
      <w:r>
        <w:rPr>
          <w:rFonts w:ascii="Times New Roman" w:hAnsi="Times New Roman" w:eastAsia="Times New Roman" w:cs="Times New Roman"/>
          <w:i w:val="0"/>
        </w:rPr>
        <w:t xml:space="preserve"> </w:t>
      </w:r>
      <w:r>
        <w:rPr>
          <w:b/>
          <w:bCs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В соотвествии с  Федеральным законом от 6 октября 2003 года N 131-ФЗ "</w:t>
      </w:r>
      <w:hyperlink r:id="rId8" w:tooltip="http://rnla-service.scli.ru:8080/rnla-links/ws/content/act/96e20c02-1b12-465a-b64c-24aa92270007.html" w:history="1">
        <w:r>
          <w:rPr>
            <w:rFonts w:ascii="Arial" w:hAnsi="Arial" w:eastAsia="Arial" w:cs="Arial"/>
            <w:b w:val="0"/>
            <w:bCs w:val="0"/>
            <w:i w:val="0"/>
            <w:iCs w:val="0"/>
            <w:color w:val="0000ee"/>
            <w:u w:val="single"/>
          </w:rPr>
          <w:t xml:space="preserve">Об общих принципах организации местного самоуправления в Российской Федерации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", Совет депутатов Атяшевского муниципального района р е ш и л: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1. Утвердить изменения, которые вносятся в Решение Совета депутатов Атяшевского муниципального района от 13 июля 2006 года № 59 "</w:t>
      </w:r>
      <w:hyperlink r:id="rId9" w:tooltip="http://rnla-service.scli.ru:8080/rnla-links/ws/content/act/320f72f5-a9f0-42e6-838d-d969d6d1d1c2.html" w:history="1">
        <w:bookmarkStart w:id="0" w:name="320f72f5-a9f0-42e6-838d-d969d6d1d1c2"/>
        <w:r>
          <w:rPr>
            <w:rFonts w:ascii="Arial" w:hAnsi="Arial" w:eastAsia="Arial" w:cs="Arial"/>
            <w:b w:val="0"/>
            <w:bCs w:val="0"/>
            <w:i w:val="0"/>
            <w:iCs w:val="0"/>
            <w:color w:val="0000ee"/>
            <w:u w:val="single"/>
          </w:rPr>
          <w:t xml:space="preserve">Об установлении размеров и условий оплаты труда Главы Атяшевского муниципального района и муниципальных служащих Атяшевского муниципального района</w:t>
        </w:r>
      </w:hyperlink>
      <w:r/>
      <w:bookmarkEnd w:id="0"/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"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2. Настоящее решение вступает в силу после его официального опубликования и распространяет свое действие на правоотношения, возникшие с 1 ноября 2023 года.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pacing w:after="281" w:before="281"/>
        <w:ind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</w:rPr>
        <w:t xml:space="preserve"> </w:t>
      </w:r>
      <w:r>
        <w:rPr>
          <w:b/>
          <w:bCs/>
          <w:sz w:val="28"/>
          <w:szCs w:val="28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Председатель Совета депутатов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Атяшевского муниципального района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Республики Мордовия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А.Н. Чугунов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pacing w:after="240" w:before="240"/>
        <w:ind/>
        <w:rPr/>
      </w:pPr>
      <w:r>
        <w:t xml:space="preserve"> </w:t>
      </w:r>
      <w:r/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Глава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Атяшевского муниципального района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Республики Мордовия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К.Н. Николаев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pacing w:after="240" w:before="240"/>
        <w:ind/>
        <w:rPr/>
      </w:pPr>
      <w:r>
        <w:t xml:space="preserve"> </w:t>
      </w:r>
      <w:r/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УТВЕРЖДЕНЫ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Решением Совета депутатов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Атяшевского муниципального района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Республики Мордовия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от 21.11.2023 г. № 45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pacing w:after="281" w:before="281"/>
        <w:ind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</w:rPr>
        <w:t xml:space="preserve"> </w:t>
      </w:r>
      <w:r>
        <w:rPr>
          <w:b/>
          <w:bCs/>
          <w:sz w:val="28"/>
          <w:szCs w:val="28"/>
        </w:rPr>
      </w:r>
    </w:p>
    <w:p>
      <w:pPr>
        <w:pStyle w:val="633"/>
        <w:keepNext w:val="false"/>
        <w:pBdr/>
        <w:spacing w:after="319" w:before="319"/>
        <w:ind/>
        <w:rPr>
          <w:b/>
          <w:bCs/>
        </w:rPr>
      </w:pPr>
      <w:r>
        <w:rPr>
          <w:rFonts w:ascii="Times New Roman" w:hAnsi="Times New Roman" w:eastAsia="Times New Roman" w:cs="Times New Roman"/>
          <w:i w:val="0"/>
        </w:rPr>
        <w:t xml:space="preserve"> </w:t>
      </w:r>
      <w:r>
        <w:rPr>
          <w:b/>
          <w:bCs/>
        </w:rPr>
      </w:r>
    </w:p>
    <w:p>
      <w:pPr>
        <w:pStyle w:val="630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изменени</w:t>
      </w: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я, которые вносятся в Решение Совета депутатов Атяшевского муниципального района от 13 июля 2006 года № 59 "Об установлении  размеров и условий оплаты труда Главы Атяшевского муниципального района и муниципальных служащих Атяшевского муниципального района"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Style w:val="634"/>
        <w:pBdr/>
        <w:spacing w:after="333" w:before="333"/>
        <w:ind/>
        <w:rPr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i w:val="0"/>
          <w:iCs w:val="0"/>
        </w:rPr>
        <w:t xml:space="preserve"> </w:t>
      </w:r>
      <w:r>
        <w:rPr>
          <w:b/>
          <w:bCs/>
          <w:sz w:val="20"/>
          <w:szCs w:val="2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Приложение 1 к Положению об оплате  труда Главы Атяшевского муниципального района и муниципальных служащих Атяшевского муниципального района изложить в следующей редакции: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pacing w:after="281" w:before="281"/>
        <w:ind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</w:rPr>
        <w:t xml:space="preserve"> </w:t>
      </w:r>
      <w:r>
        <w:rPr>
          <w:b/>
          <w:bCs/>
          <w:sz w:val="28"/>
          <w:szCs w:val="28"/>
        </w:rPr>
      </w:r>
    </w:p>
    <w:p>
      <w:pPr>
        <w:pStyle w:val="632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Приложение 1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br/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                           к Решению Совета депутатов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br/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                                          Атяшевского муниципального района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br/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                 от 13 июля 2006 г. № 59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pacing w:after="240" w:before="240"/>
        <w:ind/>
        <w:rPr/>
      </w:pPr>
      <w:r>
        <w:t xml:space="preserve"> </w:t>
      </w:r>
      <w:r/>
    </w:p>
    <w:p>
      <w:pPr>
        <w:pStyle w:val="630"/>
        <w:keepNext w:val="false"/>
        <w:pBdr/>
        <w:shd w:val="clear" w:color="auto" w:fill="ffffff"/>
        <w:spacing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aps/>
          <w:color w:val="000000"/>
          <w:sz w:val="32"/>
          <w:szCs w:val="32"/>
        </w:rPr>
        <w:t xml:space="preserve">Размер должностных окладов Главы Атяшевского муниципального района и муниципальных служащих Атяшевского муниципального  района Республики Мордовия</w:t>
      </w:r>
      <w:r>
        <w:rPr>
          <w:rFonts w:ascii="Arial" w:hAnsi="Arial" w:eastAsia="Arial" w:cs="Arial"/>
          <w:b/>
          <w:bCs/>
          <w:i w:val="0"/>
          <w:iCs w:val="0"/>
          <w:caps/>
          <w:color w:val="000000"/>
          <w:sz w:val="32"/>
          <w:szCs w:val="32"/>
        </w:rPr>
      </w:r>
    </w:p>
    <w:p>
      <w:pPr>
        <w:pBdr/>
        <w:spacing w:after="240" w:before="240"/>
        <w:ind/>
        <w:rPr/>
      </w:pPr>
      <w:r>
        <w:t xml:space="preserve"> </w:t>
      </w:r>
      <w:r/>
    </w:p>
    <w:p>
      <w:pPr>
        <w:pStyle w:val="633"/>
        <w:keepNext w:val="false"/>
        <w:pBdr/>
        <w:spacing w:after="319" w:before="319"/>
        <w:ind/>
        <w:rPr>
          <w:b/>
          <w:bCs/>
        </w:rPr>
      </w:pPr>
      <w:r>
        <w:rPr>
          <w:rFonts w:ascii="Times New Roman" w:hAnsi="Times New Roman" w:eastAsia="Times New Roman" w:cs="Times New Roman"/>
          <w:i w:val="0"/>
        </w:rPr>
        <w:t xml:space="preserve"> </w:t>
      </w:r>
      <w:r>
        <w:rPr>
          <w:b/>
          <w:bCs/>
        </w:rPr>
      </w:r>
    </w:p>
    <w:tbl>
      <w:tblPr>
        <w:tblCellSpacing w:w="15" w:type="dxa"/>
        <w:tblInd w:w="30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328"/>
        <w:gridCol w:w="3256"/>
      </w:tblGrid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должностей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Размер должностного оклада (рублей в месяц)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Глава Атяшевского муниципального района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12715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Первый заместитель Главы района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10658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Заместитель Главы района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9706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Начальник управления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7320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Начальник отдела, не входящего в состав иного структурного подразделения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6914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Заместитель начальника управления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6914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Заместитель начальника отдела, не входящего в состав иного структурного подразделения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6401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Заведующий отделом, входящим в состав иного структурного подразделения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 w:after="24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6401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pBdr/>
              <w:spacing w:before="24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Главный бухгалтер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6401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Заместитель начальника отдела, входящего в состав иного структурного подразделения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5660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Консультант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5660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Главный специалист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4768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Ведущий специалист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4483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Специалист I категории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4054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Специалист II категории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3432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Специалист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22" w:type="dxa"/>
              <w:top w:w="22" w:type="dxa"/>
              <w:right w:w="22" w:type="dxa"/>
              <w:bottom w:w="22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3372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pBdr/>
        <w:spacing w:after="240" w:before="240"/>
        <w:ind/>
        <w:rPr/>
      </w:pPr>
      <w:r>
        <w:t xml:space="preserve"> 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пункт 18 Положения об оплате труда Главы Атяшевского муниципального района и муниципальных служащих Атяшевского муниципального района изложить в следующей редакции: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"18. Муниципальным служащим, Главе Атяшевского муниципального района могут выплачиваться премии за выполнение особо важных и сложных заданий.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Премии за выполнение особо важных и сложных заданий выплачиваются: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Главе Атяшевского муниципального района – на основании распоряжения Главы Атяшевского муниципального района;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муниципальным служащим  - на основании распоряжения Администрации Атяшевского муниципального района.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При принятии решения о премировании Главы Атяшевского муниципального района, муниципальных служащих за выполнение особо важных и сложных заданий учитываются: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1) личный вклад Главы Атяшевского муниципального района, муниципального служащего в обеспечение выполнения задач и реализации функций;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2) степень сложности выполнения Главой Атяшевского муниципального района, муниципальным служащим заданий, эффективности достигнутых результатов за определенный период работы;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3) оперативность и профессионализм Главы Атяшевского муниципального района, муниципального служащего в решении вопросов, входящих в его компетенцию, в подготовке документов, выполнении поручений;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4) своевременное, добросовестное и качественное выполнение обязанностей, предусмотренных должностной инструкцией, и соблюдение правил внутреннего трудового распорядка.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  <w:t xml:space="preserve"> Размеры премий за выполнение особо важных и сложных заданий и их совокупная сумма в год максимальным размером не ограничиваются."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632"/>
        <w:keepNext w:val="false"/>
        <w:pBdr/>
        <w:spacing w:after="281" w:before="281"/>
        <w:ind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</w:rPr>
        <w:t xml:space="preserve"> </w:t>
      </w:r>
      <w:r>
        <w:rPr>
          <w:b/>
          <w:bCs/>
          <w:sz w:val="28"/>
          <w:szCs w:val="28"/>
        </w:rPr>
      </w:r>
    </w:p>
    <w:p>
      <w:pPr>
        <w:pStyle w:val="632"/>
        <w:keepNext w:val="false"/>
        <w:pBdr/>
        <w:spacing w:after="281" w:before="281"/>
        <w:ind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</w:rPr>
        <w:t xml:space="preserve"> </w:t>
      </w:r>
      <w:r>
        <w:rPr>
          <w:b/>
          <w:bCs/>
          <w:sz w:val="28"/>
          <w:szCs w:val="28"/>
        </w:rPr>
      </w:r>
    </w:p>
    <w:p>
      <w:pPr>
        <w:pBdr/>
        <w:spacing w:after="240" w:before="240"/>
        <w:ind/>
        <w:rPr/>
      </w:pPr>
      <w:r>
        <w:t xml:space="preserve"> </w:t>
      </w:r>
      <w:r/>
    </w:p>
    <w:p>
      <w:pPr>
        <w:pBdr/>
        <w:spacing w:after="240" w:before="240"/>
        <w:ind/>
        <w:rPr/>
      </w:pPr>
      <w:r>
        <w:t xml:space="preserve"> </w:t>
      </w:r>
      <w:r/>
    </w:p>
    <w:p>
      <w:pPr>
        <w:pBdr/>
        <w:spacing w:after="240" w:before="240"/>
        <w:ind/>
        <w:rPr/>
      </w:pPr>
      <w:r>
        <w:t xml:space="preserve"> </w:t>
      </w:r>
      <w:r/>
    </w:p>
    <w:p>
      <w:pPr>
        <w:pBdr/>
        <w:spacing w:after="240" w:before="240"/>
        <w:ind/>
        <w:rPr/>
      </w:pPr>
      <w:r>
        <w:t xml:space="preserve"> </w:t>
      </w:r>
      <w:r/>
    </w:p>
    <w:p>
      <w:pPr>
        <w:pBdr/>
        <w:spacing w:after="240" w:before="240"/>
        <w:ind/>
        <w:rPr/>
      </w:pPr>
      <w:r>
        <w:t xml:space="preserve"> </w:t>
      </w:r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36"/>
    <w:link w:val="6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6"/>
    <w:link w:val="6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6"/>
    <w:link w:val="6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6"/>
    <w:link w:val="6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6"/>
    <w:link w:val="6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6"/>
    <w:link w:val="6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6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6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  <w:rPr>
      <w:sz w:val="24"/>
      <w:szCs w:val="24"/>
    </w:rPr>
  </w:style>
  <w:style w:type="paragraph" w:styleId="630">
    <w:name w:val="Heading 1"/>
    <w:basedOn w:val="629"/>
    <w:next w:val="629"/>
    <w:qFormat/>
    <w:pPr>
      <w:keepNext w:val="true"/>
      <w:pBdr/>
      <w:spacing w:after="60" w:before="240"/>
      <w:ind/>
      <w:outlineLvl w:val="0"/>
    </w:pPr>
    <w:rPr>
      <w:rFonts w:ascii="Times New Roman" w:hAnsi="Times New Roman" w:eastAsia="Times New Roman" w:cs="Times New Roman"/>
      <w:b/>
      <w:bCs/>
      <w:i w:val="0"/>
      <w:sz w:val="48"/>
      <w:szCs w:val="48"/>
    </w:rPr>
  </w:style>
  <w:style w:type="paragraph" w:styleId="631">
    <w:name w:val="Heading 2"/>
    <w:basedOn w:val="629"/>
    <w:next w:val="629"/>
    <w:qFormat/>
    <w:pPr>
      <w:keepNext w:val="true"/>
      <w:pBdr/>
      <w:spacing w:after="60" w:before="240"/>
      <w:ind/>
      <w:outlineLvl w:val="1"/>
    </w:pPr>
    <w:rPr>
      <w:rFonts w:ascii="Times New Roman" w:hAnsi="Times New Roman" w:eastAsia="Times New Roman" w:cs="Times New Roman"/>
      <w:b/>
      <w:bCs/>
      <w:i w:val="0"/>
      <w:iCs/>
      <w:sz w:val="36"/>
      <w:szCs w:val="36"/>
    </w:rPr>
  </w:style>
  <w:style w:type="paragraph" w:styleId="632">
    <w:name w:val="Heading 3"/>
    <w:basedOn w:val="629"/>
    <w:next w:val="629"/>
    <w:qFormat/>
    <w:pPr>
      <w:keepNext w:val="true"/>
      <w:pBdr/>
      <w:spacing w:after="60" w:before="240"/>
      <w:ind/>
      <w:outlineLvl w:val="2"/>
    </w:pPr>
    <w:rPr>
      <w:rFonts w:ascii="Times New Roman" w:hAnsi="Times New Roman" w:eastAsia="Times New Roman" w:cs="Times New Roman"/>
      <w:b/>
      <w:bCs/>
      <w:i w:val="0"/>
      <w:sz w:val="28"/>
      <w:szCs w:val="28"/>
    </w:rPr>
  </w:style>
  <w:style w:type="paragraph" w:styleId="633">
    <w:name w:val="Heading 4"/>
    <w:basedOn w:val="629"/>
    <w:next w:val="629"/>
    <w:qFormat/>
    <w:pPr>
      <w:keepNext w:val="true"/>
      <w:pBdr/>
      <w:spacing w:after="60" w:before="240"/>
      <w:ind/>
      <w:outlineLvl w:val="3"/>
    </w:pPr>
    <w:rPr>
      <w:rFonts w:ascii="Times New Roman" w:hAnsi="Times New Roman" w:eastAsia="Times New Roman" w:cs="Times New Roman"/>
      <w:b/>
      <w:bCs/>
      <w:i w:val="0"/>
      <w:sz w:val="24"/>
      <w:szCs w:val="24"/>
    </w:rPr>
  </w:style>
  <w:style w:type="paragraph" w:styleId="634">
    <w:name w:val="Heading 5"/>
    <w:basedOn w:val="629"/>
    <w:next w:val="629"/>
    <w:qFormat/>
    <w:pPr>
      <w:pBdr/>
      <w:spacing w:after="60" w:before="240"/>
      <w:ind/>
      <w:outlineLvl w:val="4"/>
    </w:pPr>
    <w:rPr>
      <w:rFonts w:ascii="Times New Roman" w:hAnsi="Times New Roman" w:eastAsia="Times New Roman" w:cs="Times New Roman"/>
      <w:b/>
      <w:bCs/>
      <w:i w:val="0"/>
      <w:iCs/>
      <w:sz w:val="20"/>
      <w:szCs w:val="20"/>
    </w:rPr>
  </w:style>
  <w:style w:type="paragraph" w:styleId="635">
    <w:name w:val="Heading 6"/>
    <w:basedOn w:val="629"/>
    <w:next w:val="629"/>
    <w:qFormat/>
    <w:pPr>
      <w:pBdr/>
      <w:spacing w:after="60" w:before="240"/>
      <w:ind/>
      <w:outlineLvl w:val="5"/>
    </w:pPr>
    <w:rPr>
      <w:rFonts w:ascii="Times New Roman" w:hAnsi="Times New Roman" w:eastAsia="Times New Roman" w:cs="Times New Roman"/>
      <w:b/>
      <w:bCs/>
      <w:i w:val="0"/>
      <w:sz w:val="16"/>
      <w:szCs w:val="16"/>
    </w:rPr>
  </w:style>
  <w:style w:type="character" w:styleId="636" w:default="1">
    <w:name w:val="Default Paragraph Font"/>
    <w:semiHidden/>
    <w:pPr>
      <w:pBdr/>
      <w:spacing/>
      <w:ind/>
    </w:pPr>
  </w:style>
  <w:style w:type="table" w:styleId="63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38" w:customStyle="1">
    <w:name w:val="Глава НПА"/>
    <w:link w:val="639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28"/>
      <w:szCs w:val="24"/>
      <w:lang w:val="ru-RU"/>
    </w:rPr>
  </w:style>
  <w:style w:type="character" w:styleId="639" w:customStyle="1">
    <w:name w:val="Глава НПА Знак"/>
    <w:link w:val="638"/>
    <w:pPr>
      <w:pBdr/>
      <w:spacing/>
      <w:ind/>
    </w:pPr>
    <w:rPr>
      <w:rFonts w:ascii="Arial" w:hAnsi="Arial" w:cs="Arial" w:eastAsiaTheme="minorHAnsi"/>
      <w:b/>
      <w:bCs/>
      <w:sz w:val="28"/>
      <w:szCs w:val="24"/>
      <w:lang w:val="ru-RU"/>
    </w:rPr>
  </w:style>
  <w:style w:type="paragraph" w:styleId="640" w:customStyle="1">
    <w:name w:val="Наименование НПА"/>
    <w:link w:val="641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val="ru-RU"/>
    </w:rPr>
  </w:style>
  <w:style w:type="character" w:styleId="641" w:customStyle="1">
    <w:name w:val="Наименование НПА Знак"/>
    <w:link w:val="640"/>
    <w:pPr>
      <w:pBdr/>
      <w:spacing/>
      <w:ind/>
    </w:pPr>
    <w:rPr>
      <w:rFonts w:ascii="Arial" w:hAnsi="Arial" w:cs="Arial" w:eastAsiaTheme="minorHAnsi"/>
      <w:b/>
      <w:bCs/>
      <w:sz w:val="32"/>
      <w:szCs w:val="24"/>
      <w:lang w:val="ru-RU"/>
    </w:rPr>
  </w:style>
  <w:style w:type="paragraph" w:styleId="642" w:customStyle="1">
    <w:name w:val="Орган принятия НПА"/>
    <w:link w:val="643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val="ru-RU"/>
    </w:rPr>
  </w:style>
  <w:style w:type="character" w:styleId="643" w:customStyle="1">
    <w:name w:val="Орган принятия НПА Знак"/>
    <w:basedOn w:val="636"/>
    <w:link w:val="642"/>
    <w:pPr>
      <w:pBdr/>
      <w:spacing/>
      <w:ind/>
    </w:pPr>
    <w:rPr>
      <w:rFonts w:ascii="Arial" w:hAnsi="Arial" w:cs="Arial" w:eastAsiaTheme="minorHAnsi"/>
      <w:b/>
      <w:bCs/>
      <w:sz w:val="32"/>
      <w:szCs w:val="24"/>
      <w:lang w:val="ru-RU"/>
    </w:rPr>
  </w:style>
  <w:style w:type="paragraph" w:styleId="644" w:customStyle="1">
    <w:name w:val="Подпись НПА"/>
    <w:link w:val="645"/>
    <w:qFormat/>
    <w:pPr>
      <w:pBdr/>
      <w:shd w:val="clear" w:color="auto" w:fill="ffffff"/>
      <w:spacing w:line="360" w:lineRule="atLeast"/>
      <w:ind/>
      <w:jc w:val="right"/>
    </w:pPr>
    <w:rPr>
      <w:rFonts w:ascii="Arial" w:hAnsi="Arial" w:cs="Arial"/>
      <w:sz w:val="24"/>
      <w:szCs w:val="24"/>
      <w:lang w:val="ru-RU" w:eastAsia="ru-RU"/>
    </w:rPr>
  </w:style>
  <w:style w:type="character" w:styleId="645" w:customStyle="1">
    <w:name w:val="Подпись НПА Знак"/>
    <w:basedOn w:val="636"/>
    <w:link w:val="644"/>
    <w:pPr>
      <w:pBdr/>
      <w:spacing/>
      <w:ind/>
    </w:pPr>
    <w:rPr>
      <w:rFonts w:ascii="Arial" w:hAnsi="Arial" w:cs="Arial"/>
      <w:sz w:val="24"/>
      <w:szCs w:val="24"/>
      <w:shd w:val="clear" w:color="auto" w:fill="ffffff"/>
      <w:lang w:val="ru-RU" w:eastAsia="ru-RU"/>
    </w:rPr>
  </w:style>
  <w:style w:type="paragraph" w:styleId="646" w:customStyle="1">
    <w:name w:val="Приложение НПА"/>
    <w:link w:val="647"/>
    <w:qFormat/>
    <w:pPr>
      <w:pBdr/>
      <w:spacing w:line="320" w:lineRule="atLeast"/>
      <w:ind/>
      <w:jc w:val="right"/>
    </w:pPr>
    <w:rPr>
      <w:rFonts w:ascii="Arial" w:hAnsi="Arial" w:cs="Arial" w:eastAsiaTheme="minorHAnsi"/>
      <w:bCs/>
      <w:sz w:val="24"/>
      <w:szCs w:val="24"/>
      <w:lang w:val="ru-RU"/>
    </w:rPr>
  </w:style>
  <w:style w:type="character" w:styleId="647" w:customStyle="1">
    <w:name w:val="Приложение НПА Знак"/>
    <w:link w:val="646"/>
    <w:pPr>
      <w:pBdr/>
      <w:spacing/>
      <w:ind/>
    </w:pPr>
    <w:rPr>
      <w:rFonts w:ascii="Arial" w:hAnsi="Arial" w:cs="Arial" w:eastAsiaTheme="minorHAnsi"/>
      <w:bCs/>
      <w:sz w:val="24"/>
      <w:szCs w:val="24"/>
      <w:lang w:val="ru-RU"/>
    </w:rPr>
  </w:style>
  <w:style w:type="paragraph" w:styleId="648" w:customStyle="1">
    <w:name w:val="Раздел НПА"/>
    <w:link w:val="649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val="ru-RU"/>
    </w:rPr>
  </w:style>
  <w:style w:type="character" w:styleId="649" w:customStyle="1">
    <w:name w:val="Раздел НПА Знак"/>
    <w:link w:val="648"/>
    <w:pPr>
      <w:pBdr/>
      <w:spacing/>
      <w:ind/>
    </w:pPr>
    <w:rPr>
      <w:rFonts w:ascii="Arial" w:hAnsi="Arial" w:cs="Arial" w:eastAsiaTheme="minorHAnsi"/>
      <w:b/>
      <w:bCs/>
      <w:sz w:val="32"/>
      <w:szCs w:val="24"/>
      <w:lang w:val="ru-RU"/>
    </w:rPr>
  </w:style>
  <w:style w:type="paragraph" w:styleId="650" w:customStyle="1">
    <w:name w:val="Статья НПА"/>
    <w:link w:val="651"/>
    <w:qFormat/>
    <w:pPr>
      <w:pBdr/>
      <w:spacing w:line="360" w:lineRule="atLeast"/>
      <w:ind/>
      <w:jc w:val="both"/>
    </w:pPr>
    <w:rPr>
      <w:rFonts w:ascii="Arial" w:hAnsi="Arial" w:cs="Arial" w:eastAsiaTheme="minorHAnsi"/>
      <w:b/>
      <w:bCs/>
      <w:sz w:val="24"/>
      <w:szCs w:val="24"/>
      <w:lang w:val="ru-RU"/>
    </w:rPr>
  </w:style>
  <w:style w:type="character" w:styleId="651" w:customStyle="1">
    <w:name w:val="Статья НПА Знак"/>
    <w:link w:val="650"/>
    <w:pPr>
      <w:pBdr/>
      <w:spacing/>
      <w:ind/>
    </w:pPr>
    <w:rPr>
      <w:rFonts w:ascii="Arial" w:hAnsi="Arial" w:cs="Arial" w:eastAsiaTheme="minorHAnsi"/>
      <w:b/>
      <w:bCs/>
      <w:sz w:val="24"/>
      <w:szCs w:val="24"/>
      <w:lang w:val="ru-RU"/>
    </w:rPr>
  </w:style>
  <w:style w:type="paragraph" w:styleId="652" w:customStyle="1">
    <w:name w:val="Текст НПА"/>
    <w:link w:val="653"/>
    <w:qFormat/>
    <w:pPr>
      <w:pBdr/>
      <w:spacing w:line="360" w:lineRule="atLeast"/>
      <w:ind w:firstLine="709"/>
      <w:jc w:val="both"/>
    </w:pPr>
    <w:rPr>
      <w:rFonts w:ascii="Arial" w:hAnsi="Arial" w:cs="Arial" w:eastAsiaTheme="minorHAnsi"/>
      <w:bCs/>
      <w:sz w:val="24"/>
      <w:szCs w:val="24"/>
      <w:lang w:val="ru-RU"/>
    </w:rPr>
  </w:style>
  <w:style w:type="character" w:styleId="653" w:customStyle="1">
    <w:name w:val="Текст НПА Знак"/>
    <w:link w:val="652"/>
    <w:pPr>
      <w:pBdr/>
      <w:spacing/>
      <w:ind/>
    </w:pPr>
    <w:rPr>
      <w:rFonts w:ascii="Arial" w:hAnsi="Arial" w:cs="Arial" w:eastAsiaTheme="minorHAnsi"/>
      <w:bCs/>
      <w:sz w:val="24"/>
      <w:szCs w:val="24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rnla-service.scli.ru:8080/rnla-links/ws/content/act/96e20c02-1b12-465a-b64c-24aa92270007.html" TargetMode="External"/><Relationship Id="rId9" Type="http://schemas.openxmlformats.org/officeDocument/2006/relationships/hyperlink" Target="http://rnla-service.scli.ru:8080/rnla-links/ws/content/act/320f72f5-a9f0-42e6-838d-d969d6d1d1c2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onlyoffice/8.1.3.1</Application>
  <Company/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1</cp:revision>
  <dcterms:modified xsi:type="dcterms:W3CDTF">2025-03-13T08:41:21Z</dcterms:modified>
</cp:coreProperties>
</file>