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87" w:rsidRPr="00AD29CA" w:rsidRDefault="00942687" w:rsidP="00942687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42687" w:rsidRPr="00AD29CA" w:rsidRDefault="00942687" w:rsidP="00942687">
      <w:pPr>
        <w:pStyle w:val="3"/>
        <w:jc w:val="center"/>
        <w:rPr>
          <w:rFonts w:ascii="Times New Roman" w:hAnsi="Times New Roman" w:cs="Times New Roman"/>
          <w:sz w:val="44"/>
          <w:szCs w:val="44"/>
        </w:rPr>
      </w:pPr>
      <w:r w:rsidRPr="00AD29CA">
        <w:rPr>
          <w:rFonts w:ascii="Times New Roman" w:hAnsi="Times New Roman" w:cs="Times New Roman"/>
          <w:sz w:val="44"/>
          <w:szCs w:val="44"/>
        </w:rPr>
        <w:t>П О С Т А Н О В Л Е Н И Е</w:t>
      </w:r>
    </w:p>
    <w:p w:rsidR="00942687" w:rsidRPr="00AD29CA" w:rsidRDefault="00942687" w:rsidP="0094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687" w:rsidRPr="00AD29CA" w:rsidRDefault="00942687" w:rsidP="00942687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D29CA">
        <w:rPr>
          <w:rFonts w:ascii="Times New Roman" w:hAnsi="Times New Roman"/>
          <w:b w:val="0"/>
          <w:i w:val="0"/>
          <w:sz w:val="32"/>
          <w:szCs w:val="32"/>
        </w:rPr>
        <w:t>АДМИНИСТРАЦИИ</w:t>
      </w:r>
    </w:p>
    <w:p w:rsidR="00942687" w:rsidRPr="00AD29CA" w:rsidRDefault="00942687" w:rsidP="00942687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D29CA">
        <w:rPr>
          <w:rFonts w:ascii="Times New Roman" w:hAnsi="Times New Roman"/>
          <w:b w:val="0"/>
          <w:i w:val="0"/>
          <w:sz w:val="32"/>
          <w:szCs w:val="32"/>
        </w:rPr>
        <w:t>АТЯШЕВСКОГО МУНИЦИПАЛЬНОГО РАЙОНА</w:t>
      </w:r>
    </w:p>
    <w:p w:rsidR="00942687" w:rsidRPr="00AD29CA" w:rsidRDefault="00942687" w:rsidP="0094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687" w:rsidRPr="00AD29CA" w:rsidRDefault="00942687" w:rsidP="00942687">
      <w:pPr>
        <w:rPr>
          <w:rFonts w:ascii="Times New Roman" w:hAnsi="Times New Roman" w:cs="Times New Roman"/>
          <w:sz w:val="28"/>
          <w:szCs w:val="28"/>
        </w:rPr>
      </w:pPr>
      <w:r w:rsidRPr="00AD29CA">
        <w:rPr>
          <w:rFonts w:ascii="Times New Roman" w:hAnsi="Times New Roman" w:cs="Times New Roman"/>
          <w:sz w:val="28"/>
          <w:szCs w:val="28"/>
        </w:rPr>
        <w:t>_</w:t>
      </w:r>
      <w:r w:rsidR="003F3555" w:rsidRPr="003F3555">
        <w:rPr>
          <w:rFonts w:ascii="Times New Roman" w:hAnsi="Times New Roman" w:cs="Times New Roman"/>
          <w:sz w:val="28"/>
          <w:szCs w:val="28"/>
          <w:u w:val="single"/>
        </w:rPr>
        <w:t>17.05.2011</w:t>
      </w:r>
      <w:r w:rsidRPr="00AD29CA">
        <w:rPr>
          <w:rFonts w:ascii="Times New Roman" w:hAnsi="Times New Roman" w:cs="Times New Roman"/>
          <w:sz w:val="28"/>
          <w:szCs w:val="28"/>
        </w:rPr>
        <w:t>_____                                                        №_</w:t>
      </w:r>
      <w:r w:rsidR="003F3555" w:rsidRPr="003F3555">
        <w:rPr>
          <w:rFonts w:ascii="Times New Roman" w:hAnsi="Times New Roman" w:cs="Times New Roman"/>
          <w:sz w:val="28"/>
          <w:szCs w:val="28"/>
          <w:u w:val="single"/>
        </w:rPr>
        <w:t>254</w:t>
      </w:r>
      <w:r w:rsidRPr="00AD29CA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               </w:t>
      </w:r>
    </w:p>
    <w:p w:rsidR="00942687" w:rsidRPr="00AD29CA" w:rsidRDefault="00942687" w:rsidP="00942687">
      <w:pPr>
        <w:jc w:val="center"/>
        <w:rPr>
          <w:rFonts w:ascii="Times New Roman" w:hAnsi="Times New Roman" w:cs="Times New Roman"/>
        </w:rPr>
      </w:pPr>
      <w:r w:rsidRPr="00AD29CA">
        <w:rPr>
          <w:rFonts w:ascii="Times New Roman" w:hAnsi="Times New Roman" w:cs="Times New Roman"/>
        </w:rPr>
        <w:t>рп.Атяшево</w:t>
      </w:r>
    </w:p>
    <w:p w:rsidR="00942687" w:rsidRPr="00AD29CA" w:rsidRDefault="00942687" w:rsidP="00942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555" w:rsidRDefault="003F3555" w:rsidP="003F3555">
      <w:pPr>
        <w:rPr>
          <w:sz w:val="26"/>
          <w:szCs w:val="26"/>
        </w:rPr>
      </w:pPr>
    </w:p>
    <w:p w:rsidR="003F3555" w:rsidRPr="00B64A7C" w:rsidRDefault="003F3555" w:rsidP="003F3555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B64A7C">
        <w:rPr>
          <w:rFonts w:ascii="Times New Roman" w:hAnsi="Times New Roman" w:cs="Times New Roman"/>
          <w:color w:val="auto"/>
          <w:sz w:val="26"/>
          <w:szCs w:val="26"/>
        </w:rPr>
        <w:t>О внесении изменений в Постановление Администрации</w:t>
      </w:r>
      <w:r w:rsidRPr="00B64A7C">
        <w:rPr>
          <w:rFonts w:ascii="Times New Roman" w:hAnsi="Times New Roman" w:cs="Times New Roman"/>
          <w:color w:val="auto"/>
          <w:sz w:val="26"/>
          <w:szCs w:val="26"/>
        </w:rPr>
        <w:br/>
        <w:t>Атяшевского муниципального района от 27 октября 2009 года №436</w:t>
      </w:r>
      <w:r w:rsidRPr="00B64A7C">
        <w:rPr>
          <w:rFonts w:ascii="Times New Roman" w:hAnsi="Times New Roman" w:cs="Times New Roman"/>
          <w:color w:val="auto"/>
          <w:sz w:val="26"/>
          <w:szCs w:val="26"/>
        </w:rPr>
        <w:br/>
        <w:t>"Об антикоррупционной экспертизе проектов нормативных</w:t>
      </w:r>
      <w:r w:rsidRPr="00B64A7C">
        <w:rPr>
          <w:rFonts w:ascii="Times New Roman" w:hAnsi="Times New Roman" w:cs="Times New Roman"/>
          <w:color w:val="auto"/>
          <w:sz w:val="26"/>
          <w:szCs w:val="26"/>
        </w:rPr>
        <w:br/>
        <w:t>правовых актов»</w:t>
      </w:r>
    </w:p>
    <w:p w:rsidR="003F3555" w:rsidRPr="00B64A7C" w:rsidRDefault="003F3555" w:rsidP="003F3555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64A7C">
        <w:rPr>
          <w:rFonts w:ascii="Times New Roman" w:hAnsi="Times New Roman" w:cs="Times New Roman"/>
          <w:b w:val="0"/>
          <w:color w:val="auto"/>
          <w:sz w:val="26"/>
          <w:szCs w:val="26"/>
        </w:rPr>
        <w:t>1. Внести в</w:t>
      </w:r>
      <w:r w:rsidRPr="00B64A7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5" w:history="1">
        <w:r w:rsidRPr="00B64A7C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 Администрации Атяшевского муниципального района Республики Мордовия от 27 октября 2009 года N 436 "Об антикоррупционной экспертизе проектов нормативных правовых актов"</w:t>
        </w:r>
      </w:hyperlink>
      <w:r w:rsidRPr="00B64A7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следующие изменения:</w:t>
      </w:r>
    </w:p>
    <w:p w:rsidR="003F3555" w:rsidRPr="00B64A7C" w:rsidRDefault="003F3555" w:rsidP="003F3555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1) в наименовании после слова «экспертизе» дополнить словами «нормативных правовых актов и»;</w:t>
      </w:r>
    </w:p>
    <w:p w:rsidR="003F3555" w:rsidRPr="00B64A7C" w:rsidRDefault="003F3555" w:rsidP="003F3555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2) в пункте 1 слова «проектов нормативных правовых актов в целях выявления в них положений, способствующих созданию условий для проявления коррупции» заменить словами «нормативных правовых актов и проектов нормативных правовых актов»;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 xml:space="preserve">3) </w:t>
      </w:r>
      <w:bookmarkStart w:id="1" w:name="sub_1000"/>
      <w:r w:rsidRPr="00B64A7C">
        <w:rPr>
          <w:rFonts w:ascii="Times New Roman" w:hAnsi="Times New Roman" w:cs="Times New Roman"/>
          <w:sz w:val="26"/>
          <w:szCs w:val="26"/>
        </w:rPr>
        <w:t>в Порядке проведения экспертизы проектов нормативных правовых актов</w:t>
      </w:r>
      <w:r w:rsidRPr="00B64A7C">
        <w:rPr>
          <w:rFonts w:ascii="Times New Roman" w:hAnsi="Times New Roman" w:cs="Times New Roman"/>
          <w:sz w:val="26"/>
          <w:szCs w:val="26"/>
        </w:rPr>
        <w:br/>
        <w:t>в целях выявления в них положений, способствующих созданию условий для проявления коррупции:</w:t>
      </w:r>
    </w:p>
    <w:p w:rsidR="003F3555" w:rsidRPr="00B64A7C" w:rsidRDefault="003F3555" w:rsidP="003F3555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а) в наименовании слова «проектов нормативных правовых актов в целях выявления в них положений, способствующих созданию условий для проявления коррупции» заменить словами «нормативных правовых актов и проектов нормативных правовых актов»;</w:t>
      </w:r>
    </w:p>
    <w:p w:rsidR="003F3555" w:rsidRPr="00B64A7C" w:rsidRDefault="003F3555" w:rsidP="003F3555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б) пункт 1 изложить в следующей редакции: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1"/>
      <w:bookmarkEnd w:id="1"/>
      <w:r w:rsidRPr="00B64A7C">
        <w:rPr>
          <w:rFonts w:ascii="Times New Roman" w:hAnsi="Times New Roman" w:cs="Times New Roman"/>
          <w:sz w:val="26"/>
          <w:szCs w:val="26"/>
        </w:rPr>
        <w:t>«1. Настоящий порядок определяет правила проведения экспертизы нормативных правовых актов и проектов нормативных правовых актов в целях выявления в них положений, способствующих созданию условий для проявления коррупции (далее - антикоррупционная экспертиза).»;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в) дополнить пунктом 1.1. следующего содержания: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 xml:space="preserve">«1.1. Антикоррупционная экспертиза проводится разработчиками проектов нормативных правовых актов, специалистами, осуществляющими юридическую экспертизу правовых актов: 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2"/>
      <w:bookmarkEnd w:id="2"/>
      <w:r w:rsidRPr="00B64A7C">
        <w:rPr>
          <w:rFonts w:ascii="Times New Roman" w:hAnsi="Times New Roman" w:cs="Times New Roman"/>
          <w:sz w:val="26"/>
          <w:szCs w:val="26"/>
        </w:rPr>
        <w:t xml:space="preserve">в отношении проектов нормативных правовых актов Администрации Атяшевского муниципального района, функциональных (отраслевых) органов </w:t>
      </w:r>
      <w:r w:rsidRPr="00B64A7C">
        <w:rPr>
          <w:rFonts w:ascii="Times New Roman" w:hAnsi="Times New Roman" w:cs="Times New Roman"/>
          <w:sz w:val="26"/>
          <w:szCs w:val="26"/>
        </w:rPr>
        <w:lastRenderedPageBreak/>
        <w:t>Администрации Атяшевского муниципального района – при их правовой экспертизе;</w:t>
      </w:r>
    </w:p>
    <w:p w:rsidR="003F3555" w:rsidRPr="00B64A7C" w:rsidRDefault="003F3555" w:rsidP="003F3555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24"/>
      <w:r w:rsidRPr="00B64A7C">
        <w:rPr>
          <w:rFonts w:ascii="Times New Roman" w:hAnsi="Times New Roman" w:cs="Times New Roman"/>
          <w:sz w:val="26"/>
          <w:szCs w:val="26"/>
        </w:rPr>
        <w:t>нормативных правовых актов Администрации Атяшевского муниципального района, функциональных (отраслевых) органов Администрации Атяшевского муниципального района - при мониторинге их применения.»;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5"/>
      <w:bookmarkEnd w:id="3"/>
      <w:bookmarkEnd w:id="4"/>
      <w:r w:rsidRPr="00B64A7C">
        <w:rPr>
          <w:rFonts w:ascii="Times New Roman" w:hAnsi="Times New Roman" w:cs="Times New Roman"/>
          <w:sz w:val="26"/>
          <w:szCs w:val="26"/>
        </w:rPr>
        <w:t>г) пункт 4 дополнить новым абзацем следующего содержания: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«При отсутствии в проекте нормативного правового акта положений, способствующих созданию условий для проявления коррупции, он визируется муниципальным служащим, проводившим антикоррупционную экспертизу.»;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14"/>
      <w:r w:rsidRPr="00B64A7C">
        <w:rPr>
          <w:rFonts w:ascii="Times New Roman" w:hAnsi="Times New Roman" w:cs="Times New Roman"/>
          <w:sz w:val="26"/>
          <w:szCs w:val="26"/>
        </w:rPr>
        <w:t>д) дополнить пунктом 4.4. следующего содержания:</w:t>
      </w:r>
    </w:p>
    <w:p w:rsidR="003F3555" w:rsidRPr="00B64A7C" w:rsidRDefault="003F3555" w:rsidP="003F3555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«4.4. Муниципальные служащие Администрации Атяшевского муниципального района при мониторинге применения изданных нормативных правовых актов Администрации Атяшевского муниципального района в соответствии со своей компетенцией осуществляют их проверку с целью выявления в них коррупциогенных факторов.</w:t>
      </w:r>
    </w:p>
    <w:bookmarkEnd w:id="6"/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При выявлении по результатам мониторинга правоприменения в нормативном правовом акте положений, способствующих созданию условий для проявления коррупции, муниципальные служащие Администрации Атяшевского муниципального района готовят 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64A7C">
        <w:rPr>
          <w:rFonts w:ascii="Times New Roman" w:hAnsi="Times New Roman" w:cs="Times New Roman"/>
          <w:sz w:val="26"/>
          <w:szCs w:val="26"/>
        </w:rPr>
        <w:t xml:space="preserve"> нормативн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64A7C">
        <w:rPr>
          <w:rFonts w:ascii="Times New Roman" w:hAnsi="Times New Roman" w:cs="Times New Roman"/>
          <w:sz w:val="26"/>
          <w:szCs w:val="26"/>
        </w:rPr>
        <w:t xml:space="preserve"> правов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64A7C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64A7C">
        <w:rPr>
          <w:rFonts w:ascii="Times New Roman" w:hAnsi="Times New Roman" w:cs="Times New Roman"/>
          <w:sz w:val="26"/>
          <w:szCs w:val="26"/>
        </w:rPr>
        <w:t>, направленн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64A7C">
        <w:rPr>
          <w:rFonts w:ascii="Times New Roman" w:hAnsi="Times New Roman" w:cs="Times New Roman"/>
          <w:sz w:val="26"/>
          <w:szCs w:val="26"/>
        </w:rPr>
        <w:t xml:space="preserve"> на устранение положений, способствующих созданию условий для проявления коррупции в порядке, установленном Регламентом Администрации Атяшевского муниципального района, или направляют </w:t>
      </w:r>
      <w:r>
        <w:rPr>
          <w:rFonts w:ascii="Times New Roman" w:hAnsi="Times New Roman" w:cs="Times New Roman"/>
          <w:sz w:val="26"/>
          <w:szCs w:val="26"/>
        </w:rPr>
        <w:t>должностному лицу, издавшему нормативный правовой акт,</w:t>
      </w:r>
      <w:r w:rsidRPr="00B64A7C">
        <w:rPr>
          <w:rFonts w:ascii="Times New Roman" w:hAnsi="Times New Roman" w:cs="Times New Roman"/>
          <w:sz w:val="26"/>
          <w:szCs w:val="26"/>
        </w:rPr>
        <w:t xml:space="preserve"> заключение по результатам проведения антикоррупционной экспертизы нормативного правового акта.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Антикоррупционная экспертиза проекта нормативного правового акта, направленного на устранение положений нормативного правового акта, способствующих созданию условий для проявления коррупции, осуществляется в соответствии с настоящим порядком.»;</w:t>
      </w:r>
    </w:p>
    <w:bookmarkEnd w:id="5"/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е) в пункте 5: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в абзаце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4A7C">
        <w:rPr>
          <w:rFonts w:ascii="Times New Roman" w:hAnsi="Times New Roman" w:cs="Times New Roman"/>
          <w:sz w:val="26"/>
          <w:szCs w:val="26"/>
        </w:rPr>
        <w:t>втором  после  слова «экспертизы» дополнить словами «проектов нормативных правовых актов»;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 xml:space="preserve">дополнить новым абзацем следующего содержания: 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«Независимая антикоррупционная экспертиза нормативных правовых актов проводится в течение всего срока их действия.»;</w:t>
      </w:r>
    </w:p>
    <w:p w:rsidR="003F3555" w:rsidRPr="00B64A7C" w:rsidRDefault="003F3555" w:rsidP="003F35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>ж) в абзаце</w:t>
      </w:r>
      <w:r w:rsidRPr="00777C76">
        <w:rPr>
          <w:rFonts w:ascii="Times New Roman" w:hAnsi="Times New Roman" w:cs="Times New Roman"/>
          <w:sz w:val="26"/>
          <w:szCs w:val="26"/>
        </w:rPr>
        <w:t xml:space="preserve"> </w:t>
      </w:r>
      <w:r w:rsidRPr="00B64A7C">
        <w:rPr>
          <w:rFonts w:ascii="Times New Roman" w:hAnsi="Times New Roman" w:cs="Times New Roman"/>
          <w:sz w:val="26"/>
          <w:szCs w:val="26"/>
        </w:rPr>
        <w:t>третьем пункта 6 слова «разработчику проекта правового акта» заменить словами «в Администрацию Атяшевского муниципального района».</w:t>
      </w:r>
    </w:p>
    <w:p w:rsidR="003F3555" w:rsidRPr="00B64A7C" w:rsidRDefault="003F3555" w:rsidP="003F3555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4A7C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</w:t>
      </w:r>
      <w:hyperlink r:id="rId6" w:history="1">
        <w:r w:rsidRPr="00B64A7C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Pr="00B64A7C">
        <w:rPr>
          <w:rFonts w:ascii="Times New Roman" w:hAnsi="Times New Roman" w:cs="Times New Roman"/>
          <w:sz w:val="26"/>
          <w:szCs w:val="26"/>
        </w:rPr>
        <w:t>.</w:t>
      </w:r>
    </w:p>
    <w:p w:rsidR="003F3555" w:rsidRDefault="003F3555" w:rsidP="003F3555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F3555" w:rsidRPr="00B64A7C" w:rsidRDefault="003F3555" w:rsidP="003F3555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06"/>
      </w:tblGrid>
      <w:tr w:rsidR="003F3555" w:rsidRPr="007D05DA" w:rsidTr="005B59AE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555" w:rsidRPr="007D05DA" w:rsidRDefault="003F3555" w:rsidP="005B59AE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D05D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555" w:rsidRPr="007D05DA" w:rsidRDefault="003F3555" w:rsidP="005B59AE">
            <w:pPr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5DA">
              <w:rPr>
                <w:rFonts w:ascii="Times New Roman" w:hAnsi="Times New Roman" w:cs="Times New Roman"/>
                <w:sz w:val="26"/>
                <w:szCs w:val="26"/>
              </w:rPr>
              <w:t>М.А. Сурков</w:t>
            </w:r>
          </w:p>
        </w:tc>
      </w:tr>
    </w:tbl>
    <w:p w:rsidR="003F3555" w:rsidRDefault="003F3555" w:rsidP="003F3555"/>
    <w:p w:rsidR="00D23F50" w:rsidRPr="00AD29CA" w:rsidRDefault="00D23F50" w:rsidP="00D23F50">
      <w:pPr>
        <w:widowControl/>
        <w:ind w:firstLine="720"/>
        <w:jc w:val="both"/>
      </w:pPr>
    </w:p>
    <w:sectPr w:rsidR="00D23F50" w:rsidRPr="00AD29CA" w:rsidSect="003F3555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F50"/>
    <w:rsid w:val="0002792A"/>
    <w:rsid w:val="00184727"/>
    <w:rsid w:val="002A4B73"/>
    <w:rsid w:val="003019C5"/>
    <w:rsid w:val="003F3555"/>
    <w:rsid w:val="00492F81"/>
    <w:rsid w:val="00577014"/>
    <w:rsid w:val="005B59AE"/>
    <w:rsid w:val="00676F32"/>
    <w:rsid w:val="007371A3"/>
    <w:rsid w:val="00777C76"/>
    <w:rsid w:val="007D05DA"/>
    <w:rsid w:val="00942687"/>
    <w:rsid w:val="00AB3FBE"/>
    <w:rsid w:val="00AC26AE"/>
    <w:rsid w:val="00AD29CA"/>
    <w:rsid w:val="00B64A7C"/>
    <w:rsid w:val="00C077DF"/>
    <w:rsid w:val="00D23F50"/>
    <w:rsid w:val="00D95C20"/>
    <w:rsid w:val="00D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EA3D0C-ACB7-489E-B450-5E84CEB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8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942687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customStyle="1" w:styleId="afff">
    <w:name w:val="Номер"/>
    <w:basedOn w:val="a"/>
    <w:rsid w:val="00D23F50"/>
    <w:pPr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835785.0" TargetMode="External"/><Relationship Id="rId5" Type="http://schemas.openxmlformats.org/officeDocument/2006/relationships/hyperlink" Target="garantF1://883233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FC00-068F-4159-BE17-806A9FDC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2011-05-10T11:19:00Z</cp:lastPrinted>
  <dcterms:created xsi:type="dcterms:W3CDTF">2023-06-26T13:09:00Z</dcterms:created>
  <dcterms:modified xsi:type="dcterms:W3CDTF">2023-06-26T13:09:00Z</dcterms:modified>
</cp:coreProperties>
</file>