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Ex1.xml" ContentType="application/vnd.ms-office.chartex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452DC" w14:textId="77777777" w:rsidR="00202BBB" w:rsidRPr="00202BBB" w:rsidRDefault="00202BBB" w:rsidP="00202BB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02BB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             ИНФОРМАЦИЯ </w:t>
      </w:r>
    </w:p>
    <w:p w14:paraId="04DB971F" w14:textId="77777777" w:rsidR="00202BBB" w:rsidRPr="00202BBB" w:rsidRDefault="00202BBB" w:rsidP="00202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02BB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 работе с обращениями граждан, поступившими в Администрацию</w:t>
      </w:r>
    </w:p>
    <w:p w14:paraId="77412187" w14:textId="77777777" w:rsidR="00202BBB" w:rsidRPr="00202BBB" w:rsidRDefault="00202BBB" w:rsidP="00202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02BB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Атяшевского муниципального района за 2024 год.</w:t>
      </w:r>
    </w:p>
    <w:p w14:paraId="18B02AC3" w14:textId="77777777" w:rsidR="00202BBB" w:rsidRPr="00202BBB" w:rsidRDefault="00202BBB" w:rsidP="00202BB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274625B" w14:textId="77777777" w:rsidR="00BD3A95" w:rsidRPr="00202BBB" w:rsidRDefault="00BD3A95" w:rsidP="00202B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BBB">
        <w:rPr>
          <w:rFonts w:ascii="Times New Roman" w:hAnsi="Times New Roman" w:cs="Times New Roman"/>
          <w:bCs/>
          <w:sz w:val="28"/>
          <w:szCs w:val="28"/>
        </w:rPr>
        <w:t>В целях повышения эффективности взаимодействия жителей Атяшевского муниципального района с органами местного самоуправления для подачи обращений разработано несколько способов. В Администрацию Атяшевского муниципального района можно подать обращение следующим способом:</w:t>
      </w:r>
    </w:p>
    <w:p w14:paraId="55EE19D2" w14:textId="23410D99" w:rsidR="00BD3A95" w:rsidRPr="00202BBB" w:rsidRDefault="00BD3A95" w:rsidP="00202B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BBB">
        <w:rPr>
          <w:rFonts w:ascii="Times New Roman" w:hAnsi="Times New Roman" w:cs="Times New Roman"/>
          <w:bCs/>
          <w:sz w:val="28"/>
          <w:szCs w:val="28"/>
        </w:rPr>
        <w:t xml:space="preserve">- используя </w:t>
      </w:r>
      <w:r w:rsidRPr="00B22746">
        <w:rPr>
          <w:rFonts w:ascii="Times New Roman" w:hAnsi="Times New Roman" w:cs="Times New Roman"/>
          <w:bCs/>
          <w:sz w:val="28"/>
          <w:szCs w:val="28"/>
        </w:rPr>
        <w:t xml:space="preserve">электронную форму Интернет-приемной на официальном сайте администрации </w:t>
      </w:r>
      <w:r w:rsidR="00DA7D84" w:rsidRPr="00B22746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B22746">
        <w:rPr>
          <w:rFonts w:ascii="Times New Roman" w:hAnsi="Times New Roman" w:cs="Times New Roman"/>
          <w:bCs/>
          <w:sz w:val="28"/>
          <w:szCs w:val="28"/>
        </w:rPr>
        <w:t>, а также на сайте в разделе Жителям - Обращения граждан и организаций;</w:t>
      </w:r>
      <w:r w:rsidR="00B0598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A617930" w14:textId="77777777" w:rsidR="00BD3A95" w:rsidRPr="00202BBB" w:rsidRDefault="00BD3A95" w:rsidP="00202B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BBB">
        <w:rPr>
          <w:rFonts w:ascii="Times New Roman" w:hAnsi="Times New Roman" w:cs="Times New Roman"/>
          <w:bCs/>
          <w:sz w:val="28"/>
          <w:szCs w:val="28"/>
        </w:rPr>
        <w:t>- лично подать письменное обращение;</w:t>
      </w:r>
    </w:p>
    <w:p w14:paraId="7872EF7D" w14:textId="77777777" w:rsidR="00BD3A95" w:rsidRPr="00202BBB" w:rsidRDefault="00BD3A95" w:rsidP="00202B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BBB">
        <w:rPr>
          <w:rFonts w:ascii="Times New Roman" w:hAnsi="Times New Roman" w:cs="Times New Roman"/>
          <w:bCs/>
          <w:sz w:val="28"/>
          <w:szCs w:val="28"/>
        </w:rPr>
        <w:t>- устные обращения (личный прием граждан должностными лицами администрации);</w:t>
      </w:r>
    </w:p>
    <w:p w14:paraId="6C5A926E" w14:textId="6D00AF0C" w:rsidR="00BD3A95" w:rsidRPr="00202BBB" w:rsidRDefault="00BD3A95" w:rsidP="00202B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BBB">
        <w:rPr>
          <w:rFonts w:ascii="Times New Roman" w:hAnsi="Times New Roman" w:cs="Times New Roman"/>
          <w:bCs/>
          <w:sz w:val="28"/>
          <w:szCs w:val="28"/>
        </w:rPr>
        <w:t>- обращения, поступившие из Администрации Президента Российской Федерации, от депутатов Государственной Думы Российской Федерации (на официальных сайтах организаций действует система обратной связи, через которую заявители могут оставить свое обращение)</w:t>
      </w:r>
      <w:r w:rsidR="00DA7D84">
        <w:rPr>
          <w:rFonts w:ascii="Times New Roman" w:hAnsi="Times New Roman" w:cs="Times New Roman"/>
          <w:bCs/>
          <w:sz w:val="28"/>
          <w:szCs w:val="28"/>
        </w:rPr>
        <w:t>, А</w:t>
      </w:r>
      <w:r w:rsidR="00DA7D84" w:rsidRPr="00202BBB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DA7D84">
        <w:rPr>
          <w:rFonts w:ascii="Times New Roman" w:hAnsi="Times New Roman" w:cs="Times New Roman"/>
          <w:bCs/>
          <w:sz w:val="28"/>
          <w:szCs w:val="28"/>
        </w:rPr>
        <w:t>Главы Республики Мордовия</w:t>
      </w:r>
      <w:r w:rsidR="007D138B">
        <w:rPr>
          <w:rFonts w:ascii="Times New Roman" w:hAnsi="Times New Roman" w:cs="Times New Roman"/>
          <w:bCs/>
          <w:sz w:val="28"/>
          <w:szCs w:val="28"/>
        </w:rPr>
        <w:t>;</w:t>
      </w:r>
    </w:p>
    <w:p w14:paraId="69B08842" w14:textId="12B74712" w:rsidR="00BD3A95" w:rsidRPr="00202BBB" w:rsidRDefault="00BD3A95" w:rsidP="00202B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BBB">
        <w:rPr>
          <w:rFonts w:ascii="Times New Roman" w:hAnsi="Times New Roman" w:cs="Times New Roman"/>
          <w:bCs/>
          <w:sz w:val="28"/>
          <w:szCs w:val="28"/>
        </w:rPr>
        <w:t xml:space="preserve">- </w:t>
      </w:r>
      <w:bookmarkStart w:id="0" w:name="_Hlk188006653"/>
      <w:bookmarkStart w:id="1" w:name="_Hlk188006567"/>
      <w:r w:rsidR="007D138B">
        <w:rPr>
          <w:rFonts w:ascii="Times New Roman" w:hAnsi="Times New Roman" w:cs="Times New Roman"/>
          <w:bCs/>
          <w:sz w:val="28"/>
          <w:szCs w:val="28"/>
        </w:rPr>
        <w:t>п</w:t>
      </w:r>
      <w:r w:rsidRPr="00202BBB">
        <w:rPr>
          <w:rFonts w:ascii="Times New Roman" w:hAnsi="Times New Roman" w:cs="Times New Roman"/>
          <w:bCs/>
          <w:sz w:val="28"/>
          <w:szCs w:val="28"/>
        </w:rPr>
        <w:t xml:space="preserve">латформа обратной связи </w:t>
      </w:r>
      <w:bookmarkEnd w:id="0"/>
      <w:r w:rsidRPr="00202BBB">
        <w:rPr>
          <w:rFonts w:ascii="Times New Roman" w:hAnsi="Times New Roman" w:cs="Times New Roman"/>
          <w:bCs/>
          <w:sz w:val="28"/>
          <w:szCs w:val="28"/>
        </w:rPr>
        <w:t xml:space="preserve">(подача обращений через официальный сайт администрации </w:t>
      </w:r>
      <w:r w:rsidR="00DA7D84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202BBB">
        <w:rPr>
          <w:rFonts w:ascii="Times New Roman" w:hAnsi="Times New Roman" w:cs="Times New Roman"/>
          <w:bCs/>
          <w:sz w:val="28"/>
          <w:szCs w:val="28"/>
        </w:rPr>
        <w:t>). С помощью платформы гражданин, может сообщить о проблеме и проследить за ходом ее решения.</w:t>
      </w:r>
    </w:p>
    <w:p w14:paraId="34684762" w14:textId="4D40694F" w:rsidR="00BD3A95" w:rsidRPr="00202BBB" w:rsidRDefault="00BD3A95" w:rsidP="00202B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BB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D138B">
        <w:rPr>
          <w:rFonts w:ascii="Times New Roman" w:hAnsi="Times New Roman" w:cs="Times New Roman"/>
          <w:bCs/>
          <w:sz w:val="28"/>
          <w:szCs w:val="28"/>
        </w:rPr>
        <w:t>п</w:t>
      </w:r>
      <w:r w:rsidRPr="00202BBB">
        <w:rPr>
          <w:rFonts w:ascii="Times New Roman" w:hAnsi="Times New Roman" w:cs="Times New Roman"/>
          <w:bCs/>
          <w:sz w:val="28"/>
          <w:szCs w:val="28"/>
        </w:rPr>
        <w:t>рямая линия (ОНФ) (обращения, поступившие в ходе проведения прямой линии с Президентом РФ);</w:t>
      </w:r>
    </w:p>
    <w:p w14:paraId="546461E2" w14:textId="7EE96265" w:rsidR="00202BBB" w:rsidRDefault="00BD3A95" w:rsidP="00CA76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BBB">
        <w:rPr>
          <w:rFonts w:ascii="Times New Roman" w:hAnsi="Times New Roman" w:cs="Times New Roman"/>
          <w:bCs/>
          <w:sz w:val="28"/>
          <w:szCs w:val="28"/>
        </w:rPr>
        <w:t>- система «Инцидент менеджмент», (предоставление обращений посредством популярных социальных сетей, Одноклассники, ВКонтакте, Телеграмм). Основная цель системы- быстрое реагирование на проблемы, которые поднимают пользователи социальных сетей. Система выявляет и собирает значимые сообщения: негативные оценки, жалобы, вопросы, отзывы и предложения.</w:t>
      </w:r>
    </w:p>
    <w:bookmarkEnd w:id="1"/>
    <w:p w14:paraId="1FBB01BA" w14:textId="4AAEB3B8" w:rsidR="000109AB" w:rsidRPr="000630B5" w:rsidRDefault="005E4F17" w:rsidP="00202B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0B5">
        <w:rPr>
          <w:rFonts w:ascii="Times New Roman" w:hAnsi="Times New Roman" w:cs="Times New Roman"/>
          <w:sz w:val="28"/>
          <w:szCs w:val="28"/>
        </w:rPr>
        <w:t>По итогам 202</w:t>
      </w:r>
      <w:r w:rsidR="001217CE" w:rsidRPr="000630B5">
        <w:rPr>
          <w:rFonts w:ascii="Times New Roman" w:hAnsi="Times New Roman" w:cs="Times New Roman"/>
          <w:sz w:val="28"/>
          <w:szCs w:val="28"/>
        </w:rPr>
        <w:t>4</w:t>
      </w:r>
      <w:r w:rsidRPr="000630B5">
        <w:rPr>
          <w:rFonts w:ascii="Times New Roman" w:hAnsi="Times New Roman" w:cs="Times New Roman"/>
          <w:sz w:val="28"/>
          <w:szCs w:val="28"/>
        </w:rPr>
        <w:t xml:space="preserve"> года получено и зарегистрировано </w:t>
      </w:r>
      <w:r w:rsidRPr="000630B5">
        <w:rPr>
          <w:rFonts w:ascii="Times New Roman" w:hAnsi="Times New Roman" w:cs="Times New Roman"/>
          <w:bCs/>
          <w:sz w:val="28"/>
          <w:szCs w:val="28"/>
        </w:rPr>
        <w:t>129 </w:t>
      </w:r>
      <w:r w:rsidRPr="000630B5">
        <w:rPr>
          <w:rFonts w:ascii="Times New Roman" w:hAnsi="Times New Roman" w:cs="Times New Roman"/>
          <w:sz w:val="28"/>
          <w:szCs w:val="28"/>
        </w:rPr>
        <w:t>письменных обращений граждан</w:t>
      </w:r>
      <w:r w:rsidR="006E306B" w:rsidRPr="000630B5">
        <w:rPr>
          <w:rFonts w:ascii="Times New Roman" w:hAnsi="Times New Roman" w:cs="Times New Roman"/>
          <w:sz w:val="28"/>
          <w:szCs w:val="28"/>
        </w:rPr>
        <w:t>, з</w:t>
      </w:r>
      <w:r w:rsidRPr="000630B5">
        <w:rPr>
          <w:rFonts w:ascii="Times New Roman" w:hAnsi="Times New Roman" w:cs="Times New Roman"/>
          <w:sz w:val="28"/>
          <w:szCs w:val="28"/>
        </w:rPr>
        <w:t>а аналогичный период прошлого года было принято </w:t>
      </w:r>
      <w:r w:rsidR="00CA76A7" w:rsidRPr="000630B5">
        <w:rPr>
          <w:rFonts w:ascii="Times New Roman" w:hAnsi="Times New Roman" w:cs="Times New Roman"/>
          <w:bCs/>
          <w:sz w:val="28"/>
          <w:szCs w:val="28"/>
        </w:rPr>
        <w:t>131</w:t>
      </w:r>
      <w:r w:rsidRPr="000630B5">
        <w:rPr>
          <w:rFonts w:ascii="Times New Roman" w:hAnsi="Times New Roman" w:cs="Times New Roman"/>
          <w:bCs/>
          <w:sz w:val="28"/>
          <w:szCs w:val="28"/>
        </w:rPr>
        <w:t> </w:t>
      </w:r>
      <w:r w:rsidRPr="000630B5">
        <w:rPr>
          <w:rFonts w:ascii="Times New Roman" w:hAnsi="Times New Roman" w:cs="Times New Roman"/>
          <w:sz w:val="28"/>
          <w:szCs w:val="28"/>
        </w:rPr>
        <w:t>обращени</w:t>
      </w:r>
      <w:r w:rsidR="00CA76A7" w:rsidRPr="000630B5">
        <w:rPr>
          <w:rFonts w:ascii="Times New Roman" w:hAnsi="Times New Roman" w:cs="Times New Roman"/>
          <w:sz w:val="28"/>
          <w:szCs w:val="28"/>
        </w:rPr>
        <w:t>е</w:t>
      </w:r>
      <w:r w:rsidR="006E306B" w:rsidRPr="000630B5">
        <w:rPr>
          <w:rFonts w:ascii="Times New Roman" w:hAnsi="Times New Roman" w:cs="Times New Roman"/>
          <w:sz w:val="28"/>
          <w:szCs w:val="28"/>
        </w:rPr>
        <w:t>,</w:t>
      </w:r>
      <w:r w:rsidRPr="000630B5">
        <w:rPr>
          <w:rFonts w:ascii="Times New Roman" w:hAnsi="Times New Roman" w:cs="Times New Roman"/>
          <w:sz w:val="28"/>
          <w:szCs w:val="28"/>
        </w:rPr>
        <w:t xml:space="preserve"> </w:t>
      </w:r>
      <w:r w:rsidR="006E306B" w:rsidRPr="000630B5">
        <w:rPr>
          <w:rFonts w:ascii="Times New Roman" w:hAnsi="Times New Roman" w:cs="Times New Roman"/>
          <w:sz w:val="28"/>
          <w:szCs w:val="28"/>
        </w:rPr>
        <w:t>с</w:t>
      </w:r>
      <w:r w:rsidRPr="000630B5">
        <w:rPr>
          <w:rFonts w:ascii="Times New Roman" w:hAnsi="Times New Roman" w:cs="Times New Roman"/>
          <w:sz w:val="28"/>
          <w:szCs w:val="28"/>
        </w:rPr>
        <w:t>нижение составило </w:t>
      </w:r>
      <w:r w:rsidRPr="000630B5">
        <w:rPr>
          <w:rFonts w:ascii="Times New Roman" w:hAnsi="Times New Roman" w:cs="Times New Roman"/>
          <w:bCs/>
          <w:sz w:val="28"/>
          <w:szCs w:val="28"/>
        </w:rPr>
        <w:t>1,</w:t>
      </w:r>
      <w:r w:rsidR="0004404E" w:rsidRPr="000630B5">
        <w:rPr>
          <w:rFonts w:ascii="Times New Roman" w:hAnsi="Times New Roman" w:cs="Times New Roman"/>
          <w:bCs/>
          <w:sz w:val="28"/>
          <w:szCs w:val="28"/>
        </w:rPr>
        <w:t>5</w:t>
      </w:r>
      <w:r w:rsidRPr="000630B5">
        <w:rPr>
          <w:rFonts w:ascii="Times New Roman" w:hAnsi="Times New Roman" w:cs="Times New Roman"/>
          <w:bCs/>
          <w:sz w:val="28"/>
          <w:szCs w:val="28"/>
        </w:rPr>
        <w:t>%</w:t>
      </w:r>
      <w:r w:rsidR="00DA7D84" w:rsidRPr="000630B5">
        <w:rPr>
          <w:rFonts w:ascii="Times New Roman" w:hAnsi="Times New Roman" w:cs="Times New Roman"/>
          <w:bCs/>
          <w:sz w:val="28"/>
          <w:szCs w:val="28"/>
        </w:rPr>
        <w:t xml:space="preserve"> в том числе:</w:t>
      </w:r>
    </w:p>
    <w:p w14:paraId="6158A4A6" w14:textId="0D6ED872" w:rsidR="00CA76A7" w:rsidRPr="000630B5" w:rsidRDefault="00CA76A7" w:rsidP="00CA7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7D138B"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A7D84"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</w:t>
      </w:r>
      <w:r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ерез вышестоящие органы</w:t>
      </w:r>
      <w:r w:rsidR="003565D7"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поступило</w:t>
      </w:r>
      <w:r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D65D8"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71 </w:t>
      </w:r>
      <w:r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обращени</w:t>
      </w:r>
      <w:r w:rsidR="007D65D8"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0B16526" w14:textId="716A6BE5" w:rsidR="00CA76A7" w:rsidRPr="000630B5" w:rsidRDefault="00CA76A7" w:rsidP="00CA7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Администрация Главы Республики Мордовия и Правительства Республики Мордовия </w:t>
      </w:r>
      <w:r w:rsidR="000630B5"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56 </w:t>
      </w:r>
      <w:r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обращений;</w:t>
      </w:r>
    </w:p>
    <w:p w14:paraId="50822B69" w14:textId="76BD1C1C" w:rsidR="00CA76A7" w:rsidRPr="000630B5" w:rsidRDefault="00CA76A7" w:rsidP="00CA7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Государственно</w:t>
      </w:r>
      <w:r w:rsidR="000630B5"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собрани</w:t>
      </w:r>
      <w:r w:rsidR="000630B5"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Республики Мордовия в 2024 году поступ</w:t>
      </w:r>
      <w:r w:rsidR="006E306B"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ил</w:t>
      </w:r>
      <w:r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</w:t>
      </w:r>
      <w:r w:rsidR="007D65D8"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обращени</w:t>
      </w:r>
      <w:r w:rsidR="007D65D8"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</w:t>
      </w:r>
      <w:r w:rsidR="000630B5"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E205473" w14:textId="3E1F8D1D" w:rsidR="007D138B" w:rsidRPr="000630B5" w:rsidRDefault="00CA76A7" w:rsidP="00CA7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Управление федеральной службы по надзору в сфере защиты прав потребителей и благополучия человека – </w:t>
      </w:r>
      <w:r w:rsidR="007D65D8"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обращени</w:t>
      </w:r>
      <w:r w:rsidR="007D65D8"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</w:t>
      </w:r>
      <w:r w:rsidR="007D138B"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3933B34" w14:textId="352802BD" w:rsidR="00F80B4E" w:rsidRPr="000630B5" w:rsidRDefault="00F80B4E" w:rsidP="00CA7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Министерств</w:t>
      </w:r>
      <w:r w:rsidR="000630B5"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энергетики и жилищно- коммунального хозяйства Республики Мордовия -</w:t>
      </w:r>
      <w:r w:rsidR="000630B5"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D65D8"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 обращения</w:t>
      </w:r>
      <w:r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; </w:t>
      </w:r>
    </w:p>
    <w:p w14:paraId="23BB1E6D" w14:textId="7A1C369A" w:rsidR="007D65D8" w:rsidRPr="000630B5" w:rsidRDefault="007D65D8" w:rsidP="00CA7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МОО «Народный контроль» -1 обращение;</w:t>
      </w:r>
    </w:p>
    <w:p w14:paraId="46044CB5" w14:textId="2EB57F1C" w:rsidR="007D65D8" w:rsidRPr="000630B5" w:rsidRDefault="007D65D8" w:rsidP="00CA7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Прокуратур</w:t>
      </w:r>
      <w:r w:rsidR="000630B5"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Атяшевского района- 1 обращение;</w:t>
      </w:r>
    </w:p>
    <w:p w14:paraId="111F05C5" w14:textId="56DB3D26" w:rsidR="007D65D8" w:rsidRPr="000630B5" w:rsidRDefault="007D65D8" w:rsidP="00CA7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- </w:t>
      </w:r>
      <w:r w:rsidR="000630B5"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Межрегиональное управление Росприроднадзора по Нижегородской области и Республики Мордовия- 1 обращение;</w:t>
      </w:r>
    </w:p>
    <w:p w14:paraId="6E1533F8" w14:textId="724A16BF" w:rsidR="00CA76A7" w:rsidRPr="00CA76A7" w:rsidRDefault="007D138B" w:rsidP="00CA7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напрямую Главе района, непосредственно от заявителей поступило </w:t>
      </w:r>
      <w:r w:rsidR="00DC37DF"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73</w:t>
      </w:r>
      <w:r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обращени</w:t>
      </w:r>
      <w:r w:rsidR="000630B5"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(АППГ-105), снижение </w:t>
      </w:r>
      <w:r w:rsidR="00DA7D84"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</w:t>
      </w:r>
      <w:r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565D7"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30,5</w:t>
      </w:r>
      <w:r w:rsidRPr="00063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%.</w:t>
      </w:r>
    </w:p>
    <w:p w14:paraId="002D69F8" w14:textId="77777777" w:rsidR="004A68CE" w:rsidRDefault="007D138B" w:rsidP="004A68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5E4F17" w:rsidRPr="00202BBB">
        <w:rPr>
          <w:rFonts w:ascii="Times New Roman" w:hAnsi="Times New Roman" w:cs="Times New Roman"/>
          <w:bCs/>
          <w:sz w:val="28"/>
          <w:szCs w:val="28"/>
        </w:rPr>
        <w:t>оллективных обращений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- 18</w:t>
      </w:r>
      <w:r w:rsidR="005E4F17" w:rsidRPr="00202BBB">
        <w:rPr>
          <w:rFonts w:ascii="Times New Roman" w:hAnsi="Times New Roman" w:cs="Times New Roman"/>
          <w:bCs/>
          <w:sz w:val="28"/>
          <w:szCs w:val="28"/>
        </w:rPr>
        <w:t>, что на </w:t>
      </w:r>
      <w:r w:rsidR="0004404E">
        <w:rPr>
          <w:rFonts w:ascii="Times New Roman" w:hAnsi="Times New Roman" w:cs="Times New Roman"/>
          <w:bCs/>
          <w:sz w:val="28"/>
          <w:szCs w:val="28"/>
        </w:rPr>
        <w:t>18</w:t>
      </w:r>
      <w:r w:rsidR="005E4F17" w:rsidRPr="00202BBB">
        <w:rPr>
          <w:rFonts w:ascii="Times New Roman" w:hAnsi="Times New Roman" w:cs="Times New Roman"/>
          <w:bCs/>
          <w:sz w:val="28"/>
          <w:szCs w:val="28"/>
        </w:rPr>
        <w:t>% меньше аналогичного показателя прошлого года (</w:t>
      </w:r>
      <w:r w:rsidR="0004404E">
        <w:rPr>
          <w:rFonts w:ascii="Times New Roman" w:hAnsi="Times New Roman" w:cs="Times New Roman"/>
          <w:bCs/>
          <w:sz w:val="28"/>
          <w:szCs w:val="28"/>
        </w:rPr>
        <w:t>10</w:t>
      </w:r>
      <w:r w:rsidR="005E4F17" w:rsidRPr="00202BBB">
        <w:rPr>
          <w:rFonts w:ascii="Times New Roman" w:hAnsi="Times New Roman" w:cs="Times New Roman"/>
          <w:bCs/>
          <w:sz w:val="28"/>
          <w:szCs w:val="28"/>
        </w:rPr>
        <w:t xml:space="preserve">). Доля коллективных обращений в общем количестве </w:t>
      </w:r>
      <w:r w:rsidR="0004404E">
        <w:rPr>
          <w:rFonts w:ascii="Times New Roman" w:hAnsi="Times New Roman" w:cs="Times New Roman"/>
          <w:bCs/>
          <w:sz w:val="28"/>
          <w:szCs w:val="28"/>
        </w:rPr>
        <w:t>увеличилась</w:t>
      </w:r>
      <w:r w:rsidR="005E4F17" w:rsidRPr="00202BB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="005E4F17" w:rsidRPr="00202BBB">
        <w:rPr>
          <w:rFonts w:ascii="Times New Roman" w:hAnsi="Times New Roman" w:cs="Times New Roman"/>
          <w:bCs/>
          <w:sz w:val="28"/>
          <w:szCs w:val="28"/>
        </w:rPr>
        <w:t> </w:t>
      </w:r>
      <w:r w:rsidR="00603F88">
        <w:rPr>
          <w:rFonts w:ascii="Times New Roman" w:hAnsi="Times New Roman" w:cs="Times New Roman"/>
          <w:bCs/>
          <w:sz w:val="28"/>
          <w:szCs w:val="28"/>
        </w:rPr>
        <w:t>13,9</w:t>
      </w:r>
      <w:r w:rsidR="005E4F17" w:rsidRPr="00202BBB">
        <w:rPr>
          <w:rFonts w:ascii="Times New Roman" w:hAnsi="Times New Roman" w:cs="Times New Roman"/>
          <w:bCs/>
          <w:sz w:val="28"/>
          <w:szCs w:val="28"/>
        </w:rPr>
        <w:t>%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4A68CE" w:rsidRPr="004A68C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CDF6274" w14:textId="15693546" w:rsidR="004A68CE" w:rsidRDefault="004A68CE" w:rsidP="004A68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BBB">
        <w:rPr>
          <w:rFonts w:ascii="Times New Roman" w:hAnsi="Times New Roman" w:cs="Times New Roman"/>
          <w:bCs/>
          <w:sz w:val="28"/>
          <w:szCs w:val="28"/>
        </w:rPr>
        <w:t>Помимо обращений, рассмотренных Администрацией Атяшевского муниципального района Республики Мордовия по компетенции, 44 обращения граждан было переадресовано по принадлежности в соответствии с ч.3, 5 ст.8 Федерального закона от 02.05.2006 № 59-ФЗ «О порядке рассмотрения обращений граждан Российской Федерации», что составляет </w:t>
      </w:r>
      <w:r>
        <w:rPr>
          <w:rFonts w:ascii="Times New Roman" w:hAnsi="Times New Roman" w:cs="Times New Roman"/>
          <w:bCs/>
          <w:sz w:val="28"/>
          <w:szCs w:val="28"/>
        </w:rPr>
        <w:t>34,1</w:t>
      </w:r>
      <w:r w:rsidRPr="00202BBB">
        <w:rPr>
          <w:rFonts w:ascii="Times New Roman" w:hAnsi="Times New Roman" w:cs="Times New Roman"/>
          <w:bCs/>
          <w:sz w:val="28"/>
          <w:szCs w:val="28"/>
        </w:rPr>
        <w:t xml:space="preserve">% от всех поступивших письменных обращений граждан. </w:t>
      </w:r>
    </w:p>
    <w:p w14:paraId="02D1F835" w14:textId="77777777" w:rsidR="000630B5" w:rsidRDefault="000630B5" w:rsidP="006E30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DA98B0" w14:textId="4C2BACC5" w:rsidR="005E4F17" w:rsidRDefault="005E4F17" w:rsidP="006E30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8CE">
        <w:rPr>
          <w:rFonts w:ascii="Times New Roman" w:hAnsi="Times New Roman" w:cs="Times New Roman"/>
          <w:b/>
          <w:sz w:val="28"/>
          <w:szCs w:val="28"/>
        </w:rPr>
        <w:t>Тематическая структура</w:t>
      </w:r>
    </w:p>
    <w:p w14:paraId="428FDF28" w14:textId="77777777" w:rsidR="000630B5" w:rsidRPr="004A68CE" w:rsidRDefault="000630B5" w:rsidP="006E30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2083D5" w14:textId="707249E1" w:rsidR="005E4F17" w:rsidRDefault="005E4F17" w:rsidP="0069509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BBB">
        <w:rPr>
          <w:rFonts w:ascii="Times New Roman" w:hAnsi="Times New Roman" w:cs="Times New Roman"/>
          <w:bCs/>
          <w:sz w:val="28"/>
          <w:szCs w:val="28"/>
        </w:rPr>
        <w:t>Распределение тематик письменных обращений граждан в соответствии с детализированной формой учета представлено в таблице и диаграмме (таблица 1, диаграмма 1, 2).</w:t>
      </w:r>
    </w:p>
    <w:p w14:paraId="6B892CFB" w14:textId="77777777" w:rsidR="000630B5" w:rsidRPr="00202BBB" w:rsidRDefault="000630B5" w:rsidP="0069509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6E71CB" w14:textId="22E20D40" w:rsidR="005E4F17" w:rsidRDefault="005E4F17" w:rsidP="005E4F17">
      <w:pPr>
        <w:rPr>
          <w:b/>
          <w:bCs/>
          <w:i/>
          <w:iCs/>
        </w:rPr>
      </w:pPr>
      <w:r w:rsidRPr="005E4F17">
        <w:rPr>
          <w:b/>
          <w:bCs/>
          <w:i/>
          <w:iCs/>
        </w:rPr>
        <w:t xml:space="preserve">Таблица </w:t>
      </w:r>
      <w:r>
        <w:rPr>
          <w:b/>
          <w:bCs/>
          <w:i/>
          <w:iCs/>
        </w:rPr>
        <w:t>1</w:t>
      </w:r>
      <w:r w:rsidRPr="005E4F17">
        <w:rPr>
          <w:b/>
          <w:bCs/>
          <w:i/>
          <w:iCs/>
        </w:rPr>
        <w:t>. Распределение письменных обращений граждан (детализированная форма) за отчетные периоды 202</w:t>
      </w:r>
      <w:r>
        <w:rPr>
          <w:b/>
          <w:bCs/>
          <w:i/>
          <w:iCs/>
        </w:rPr>
        <w:t>3</w:t>
      </w:r>
      <w:r w:rsidRPr="005E4F17">
        <w:rPr>
          <w:b/>
          <w:bCs/>
          <w:i/>
          <w:iCs/>
        </w:rPr>
        <w:t>-202</w:t>
      </w:r>
      <w:r>
        <w:rPr>
          <w:b/>
          <w:bCs/>
          <w:i/>
          <w:iCs/>
        </w:rPr>
        <w:t>4</w:t>
      </w:r>
      <w:r w:rsidRPr="005E4F17">
        <w:rPr>
          <w:b/>
          <w:bCs/>
          <w:i/>
          <w:iCs/>
        </w:rPr>
        <w:t xml:space="preserve"> гг.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5954"/>
        <w:gridCol w:w="1984"/>
        <w:gridCol w:w="1276"/>
      </w:tblGrid>
      <w:tr w:rsidR="00F74F0E" w:rsidRPr="00F74F0E" w14:paraId="496B18D4" w14:textId="77777777" w:rsidTr="004A68CE">
        <w:trPr>
          <w:trHeight w:val="264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6E64" w14:textId="77777777" w:rsidR="00F74F0E" w:rsidRPr="00F74F0E" w:rsidRDefault="00F74F0E" w:rsidP="00F7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F74F0E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ТЕМАТИКА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CFEA" w14:textId="77777777" w:rsidR="00F74F0E" w:rsidRPr="00F74F0E" w:rsidRDefault="00F74F0E" w:rsidP="00F7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F0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Количество обращений</w:t>
            </w:r>
          </w:p>
        </w:tc>
      </w:tr>
      <w:tr w:rsidR="00F74F0E" w:rsidRPr="00F74F0E" w14:paraId="6D519E22" w14:textId="77777777" w:rsidTr="004A68CE">
        <w:trPr>
          <w:trHeight w:val="264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482C" w14:textId="77777777" w:rsidR="00F74F0E" w:rsidRPr="00F74F0E" w:rsidRDefault="00F74F0E" w:rsidP="00F74F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7A94" w14:textId="77777777" w:rsidR="00F74F0E" w:rsidRPr="00F74F0E" w:rsidRDefault="00F74F0E" w:rsidP="00F7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F0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5B40" w14:textId="77777777" w:rsidR="00F74F0E" w:rsidRPr="00F74F0E" w:rsidRDefault="00F74F0E" w:rsidP="00F7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74F0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2024</w:t>
            </w:r>
          </w:p>
        </w:tc>
      </w:tr>
      <w:tr w:rsidR="00F74F0E" w:rsidRPr="00F74F0E" w14:paraId="3101C734" w14:textId="77777777" w:rsidTr="004A68CE">
        <w:trPr>
          <w:trHeight w:val="27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702A" w14:textId="77777777" w:rsidR="00F74F0E" w:rsidRPr="00F74F0E" w:rsidRDefault="00F74F0E" w:rsidP="00F74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F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Благоустройство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F82B" w14:textId="77777777" w:rsidR="00F74F0E" w:rsidRPr="00F74F0E" w:rsidRDefault="00F74F0E" w:rsidP="00F7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F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354D" w14:textId="77777777" w:rsidR="00F74F0E" w:rsidRPr="00F74F0E" w:rsidRDefault="00F74F0E" w:rsidP="00F7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F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F74F0E" w:rsidRPr="00F74F0E" w14:paraId="36F65349" w14:textId="77777777" w:rsidTr="00F74F0E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3F606" w14:textId="77777777" w:rsidR="00F74F0E" w:rsidRPr="00F74F0E" w:rsidRDefault="00F74F0E" w:rsidP="00F74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F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Содержание общедомового имущества (работа</w:t>
            </w:r>
            <w:r w:rsidRPr="00F74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F74F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управляющих организаций)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1FBE" w14:textId="77777777" w:rsidR="00F74F0E" w:rsidRPr="00F74F0E" w:rsidRDefault="00F74F0E" w:rsidP="00F7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89483" w14:textId="77777777" w:rsidR="00F74F0E" w:rsidRPr="00F74F0E" w:rsidRDefault="00F74F0E" w:rsidP="00F7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F74F0E" w:rsidRPr="00F74F0E" w14:paraId="64224A49" w14:textId="77777777" w:rsidTr="00F74F0E">
        <w:trPr>
          <w:trHeight w:val="27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5EE5D" w14:textId="77777777" w:rsidR="00F74F0E" w:rsidRPr="00F74F0E" w:rsidRDefault="00F74F0E" w:rsidP="00F74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F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Транспортное сообщение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2D44" w14:textId="77777777" w:rsidR="00F74F0E" w:rsidRPr="00F74F0E" w:rsidRDefault="00F74F0E" w:rsidP="00F7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6E7C" w14:textId="77777777" w:rsidR="00F74F0E" w:rsidRPr="00F74F0E" w:rsidRDefault="00F74F0E" w:rsidP="00F7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F74F0E" w:rsidRPr="00F74F0E" w14:paraId="5BD55907" w14:textId="77777777" w:rsidTr="00F74F0E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B80D" w14:textId="77777777" w:rsidR="00F74F0E" w:rsidRPr="00F74F0E" w:rsidRDefault="00F74F0E" w:rsidP="00F74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F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коммунальных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82EC" w14:textId="77777777" w:rsidR="00F74F0E" w:rsidRPr="00F74F0E" w:rsidRDefault="00F74F0E" w:rsidP="00F7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0540D" w14:textId="77777777" w:rsidR="00F74F0E" w:rsidRPr="00F74F0E" w:rsidRDefault="00F74F0E" w:rsidP="00F7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F74F0E" w:rsidRPr="00F74F0E" w14:paraId="33E414F5" w14:textId="77777777" w:rsidTr="00F74F0E">
        <w:trPr>
          <w:trHeight w:val="32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5475F" w14:textId="77777777" w:rsidR="00F74F0E" w:rsidRPr="00F74F0E" w:rsidRDefault="00F74F0E" w:rsidP="00F74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F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Другие вопросы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FDB96" w14:textId="6083D2D7" w:rsidR="00F74F0E" w:rsidRPr="00F74F0E" w:rsidRDefault="00F74F0E" w:rsidP="00F7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B553" w14:textId="3D4DD704" w:rsidR="00F74F0E" w:rsidRPr="00F74F0E" w:rsidRDefault="00F74F0E" w:rsidP="00F7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947B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F74F0E" w:rsidRPr="00F74F0E" w14:paraId="5E3D5E24" w14:textId="77777777" w:rsidTr="00F74F0E">
        <w:trPr>
          <w:trHeight w:val="27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D2BF" w14:textId="77777777" w:rsidR="00F74F0E" w:rsidRPr="00F74F0E" w:rsidRDefault="00F74F0E" w:rsidP="00F74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Улучшение жилищных условий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B7C3" w14:textId="77777777" w:rsidR="00F74F0E" w:rsidRPr="00F74F0E" w:rsidRDefault="00F74F0E" w:rsidP="00F7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78D88" w14:textId="77777777" w:rsidR="00F74F0E" w:rsidRPr="00F74F0E" w:rsidRDefault="00F74F0E" w:rsidP="00F7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F74F0E" w:rsidRPr="00F74F0E" w14:paraId="36532105" w14:textId="77777777" w:rsidTr="00F74F0E">
        <w:trPr>
          <w:trHeight w:val="32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6CB5" w14:textId="77777777" w:rsidR="00F74F0E" w:rsidRPr="00F74F0E" w:rsidRDefault="00F74F0E" w:rsidP="00F74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Земельные отношения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4F99" w14:textId="77777777" w:rsidR="00F74F0E" w:rsidRPr="00F74F0E" w:rsidRDefault="00F74F0E" w:rsidP="00F7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E4D2B" w14:textId="77777777" w:rsidR="00F74F0E" w:rsidRPr="00F74F0E" w:rsidRDefault="00F74F0E" w:rsidP="00F7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</w:tr>
      <w:tr w:rsidR="00F74F0E" w:rsidRPr="00F74F0E" w14:paraId="156CBF80" w14:textId="77777777" w:rsidTr="00F74F0E">
        <w:trPr>
          <w:trHeight w:val="30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691B6" w14:textId="77777777" w:rsidR="00F74F0E" w:rsidRPr="00F74F0E" w:rsidRDefault="00F74F0E" w:rsidP="00F74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Дорожное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0C53E" w14:textId="77777777" w:rsidR="00F74F0E" w:rsidRPr="00F74F0E" w:rsidRDefault="00F74F0E" w:rsidP="00F7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B91FF" w14:textId="77777777" w:rsidR="00F74F0E" w:rsidRPr="00F74F0E" w:rsidRDefault="00F74F0E" w:rsidP="00F7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</w:tr>
      <w:tr w:rsidR="00F74F0E" w:rsidRPr="00F74F0E" w14:paraId="6D8DCC43" w14:textId="77777777" w:rsidTr="00F74F0E">
        <w:trPr>
          <w:trHeight w:val="30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5F81" w14:textId="77777777" w:rsidR="00F74F0E" w:rsidRPr="00F74F0E" w:rsidRDefault="00F74F0E" w:rsidP="00F74F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Газификация, водоснабжение, электрификация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B8EB6" w14:textId="77777777" w:rsidR="00F74F0E" w:rsidRPr="00F74F0E" w:rsidRDefault="00F74F0E" w:rsidP="00F7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EB474" w14:textId="77777777" w:rsidR="00F74F0E" w:rsidRPr="00F74F0E" w:rsidRDefault="00F74F0E" w:rsidP="00F7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F74F0E" w:rsidRPr="00F74F0E" w14:paraId="536504DC" w14:textId="77777777" w:rsidTr="00F74F0E">
        <w:trPr>
          <w:trHeight w:val="27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0592" w14:textId="77777777" w:rsidR="00F74F0E" w:rsidRPr="00F74F0E" w:rsidRDefault="00F74F0E" w:rsidP="00F74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F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Образование и 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AD26" w14:textId="2B2EAD97" w:rsidR="00F74F0E" w:rsidRPr="00F74F0E" w:rsidRDefault="00F74F0E" w:rsidP="00F7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4F11" w14:textId="77777777" w:rsidR="00F74F0E" w:rsidRPr="00F74F0E" w:rsidRDefault="00F74F0E" w:rsidP="00F7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F74F0E" w:rsidRPr="00F74F0E" w14:paraId="6E6C08B3" w14:textId="77777777" w:rsidTr="00F74F0E">
        <w:trPr>
          <w:trHeight w:val="23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42E9" w14:textId="77777777" w:rsidR="00F74F0E" w:rsidRPr="00F74F0E" w:rsidRDefault="00F74F0E" w:rsidP="00F74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F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Мобилизация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BE06D" w14:textId="77777777" w:rsidR="00F74F0E" w:rsidRPr="00F74F0E" w:rsidRDefault="00F74F0E" w:rsidP="00F7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D9222" w14:textId="77777777" w:rsidR="00F74F0E" w:rsidRPr="00F74F0E" w:rsidRDefault="00F74F0E" w:rsidP="00F7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4F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</w:tr>
      <w:tr w:rsidR="00F74F0E" w:rsidRPr="00F74F0E" w14:paraId="30C7D237" w14:textId="77777777" w:rsidTr="00F74F0E">
        <w:trPr>
          <w:trHeight w:val="33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BFE0" w14:textId="77777777" w:rsidR="00F74F0E" w:rsidRPr="00947B80" w:rsidRDefault="00F74F0E" w:rsidP="00F74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7B8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D029" w14:textId="08298E97" w:rsidR="00F74F0E" w:rsidRPr="00947B80" w:rsidRDefault="00947B80" w:rsidP="00F7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7B8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A24B" w14:textId="7790C0CA" w:rsidR="00F74F0E" w:rsidRPr="00947B80" w:rsidRDefault="00947B80" w:rsidP="00F7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7B8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</w:tr>
    </w:tbl>
    <w:p w14:paraId="75EB63D2" w14:textId="4F1EA52C" w:rsidR="004A68CE" w:rsidRPr="005E4F17" w:rsidRDefault="004A68CE" w:rsidP="005E4F17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65B36957" wp14:editId="03B1A7A3">
            <wp:extent cx="6191250" cy="3038475"/>
            <wp:effectExtent l="0" t="0" r="0" b="9525"/>
            <wp:docPr id="31052953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71A3DC9" w14:textId="08C3BDEE" w:rsidR="005E4F17" w:rsidRDefault="005E4F17" w:rsidP="005E4F17">
      <w:pPr>
        <w:rPr>
          <w:b/>
          <w:bCs/>
          <w:i/>
          <w:iCs/>
        </w:rPr>
      </w:pPr>
      <w:r w:rsidRPr="005E4F17">
        <w:rPr>
          <w:b/>
          <w:bCs/>
          <w:i/>
          <w:iCs/>
        </w:rPr>
        <w:t xml:space="preserve">Диаграмма </w:t>
      </w:r>
      <w:r>
        <w:rPr>
          <w:b/>
          <w:bCs/>
          <w:i/>
          <w:iCs/>
        </w:rPr>
        <w:t>2</w:t>
      </w:r>
      <w:r w:rsidRPr="005E4F17">
        <w:rPr>
          <w:b/>
          <w:bCs/>
          <w:i/>
          <w:iCs/>
        </w:rPr>
        <w:t>. Тематическая структура письменных обращений граждан в 202</w:t>
      </w:r>
      <w:r>
        <w:rPr>
          <w:b/>
          <w:bCs/>
          <w:i/>
          <w:iCs/>
        </w:rPr>
        <w:t>4</w:t>
      </w:r>
      <w:r w:rsidRPr="005E4F17">
        <w:rPr>
          <w:b/>
          <w:bCs/>
          <w:i/>
          <w:iCs/>
        </w:rPr>
        <w:t xml:space="preserve"> году (типовой общероссийский классификатор обращений граждан)</w:t>
      </w:r>
    </w:p>
    <w:p w14:paraId="499415F1" w14:textId="061571D4" w:rsidR="004A68CE" w:rsidRDefault="004A68CE" w:rsidP="005E4F17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cx1">
            <w:drawing>
              <wp:inline distT="0" distB="0" distL="0" distR="0" wp14:anchorId="7FBC8E54" wp14:editId="16523881">
                <wp:extent cx="6088380" cy="4724400"/>
                <wp:effectExtent l="0" t="0" r="7620" b="0"/>
                <wp:docPr id="2037818039" name="Диаграмма 2"/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5"/>
                  </a:graphicData>
                </a:graphic>
              </wp:inline>
            </w:drawing>
          </mc:Choice>
          <mc:Fallback>
            <w:drawing>
              <wp:inline distT="0" distB="0" distL="0" distR="0" wp14:anchorId="7FBC8E54" wp14:editId="16523881">
                <wp:extent cx="6088380" cy="4724400"/>
                <wp:effectExtent l="0" t="0" r="7620" b="0"/>
                <wp:docPr id="2037818039" name="Диаграмма 2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7818039" name="Диаграмма 2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8380" cy="472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14939572" w14:textId="4419340B" w:rsidR="008045F1" w:rsidRPr="003922FF" w:rsidRDefault="005E4F17" w:rsidP="00804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22FF">
        <w:rPr>
          <w:rFonts w:ascii="Times New Roman" w:hAnsi="Times New Roman" w:cs="Times New Roman"/>
          <w:bCs/>
          <w:sz w:val="28"/>
          <w:szCs w:val="28"/>
        </w:rPr>
        <w:t>Результаты анализа тематической структуры обращений по итогам 2024 года показывают, что наиболее распространенными тематиками обращений граждан являются</w:t>
      </w:r>
      <w:r w:rsidR="008045F1" w:rsidRPr="003922FF">
        <w:rPr>
          <w:rFonts w:ascii="Times New Roman" w:hAnsi="Times New Roman" w:cs="Times New Roman"/>
          <w:bCs/>
          <w:sz w:val="28"/>
          <w:szCs w:val="28"/>
        </w:rPr>
        <w:t>:</w:t>
      </w:r>
      <w:r w:rsidR="008045F1" w:rsidRPr="00392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ремонт дорог и мостов – 17 обращений (13% от общего </w:t>
      </w:r>
      <w:r w:rsidR="008045F1" w:rsidRPr="00392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числа), социальные вопросы – 14 обращений (10,8% от общего числа), земельные вопросы- 11 обращений (8,5% от общего числа), жилищные вопросы - 7 обращений </w:t>
      </w:r>
      <w:bookmarkStart w:id="2" w:name="_Hlk156400151"/>
      <w:r w:rsidR="008045F1" w:rsidRPr="00392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(5,4% от общего числа)</w:t>
      </w:r>
      <w:bookmarkEnd w:id="2"/>
      <w:r w:rsidR="008045F1" w:rsidRPr="00392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ликвидация несанкционированных свалок - 6 обращений (4,6% от общего числа), отсутствие уличного освещения –4 обращения (3,1% от общего числа). </w:t>
      </w:r>
    </w:p>
    <w:p w14:paraId="04C1278F" w14:textId="75FE9111" w:rsidR="005E4F17" w:rsidRPr="005E4F17" w:rsidRDefault="008045F1" w:rsidP="00E3185F">
      <w:pPr>
        <w:spacing w:after="0" w:line="240" w:lineRule="auto"/>
        <w:ind w:firstLine="708"/>
        <w:jc w:val="both"/>
        <w:rPr>
          <w:b/>
          <w:bCs/>
        </w:rPr>
      </w:pPr>
      <w:r w:rsidRPr="00392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общей сложности обращения по этим темам составили 45,7 % от общего количества обращений граждан.</w:t>
      </w:r>
    </w:p>
    <w:p w14:paraId="2F35B7C3" w14:textId="0461C562" w:rsidR="001217CE" w:rsidRPr="0043289E" w:rsidRDefault="001217CE" w:rsidP="008045F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BBB">
        <w:rPr>
          <w:rFonts w:ascii="Times New Roman" w:hAnsi="Times New Roman" w:cs="Times New Roman"/>
          <w:bCs/>
          <w:sz w:val="28"/>
          <w:szCs w:val="28"/>
        </w:rPr>
        <w:t>Результативность рассмотрения письменных обращений граждан</w:t>
      </w:r>
      <w:r w:rsidR="00E3185F">
        <w:rPr>
          <w:rFonts w:ascii="Times New Roman" w:hAnsi="Times New Roman" w:cs="Times New Roman"/>
          <w:bCs/>
          <w:sz w:val="28"/>
          <w:szCs w:val="28"/>
        </w:rPr>
        <w:t>:</w:t>
      </w:r>
    </w:p>
    <w:p w14:paraId="05FD1951" w14:textId="77777777" w:rsidR="008045F1" w:rsidRPr="008045F1" w:rsidRDefault="008045F1" w:rsidP="008045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45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исполнено- 24 вопроса;</w:t>
      </w:r>
    </w:p>
    <w:p w14:paraId="59C0D9EB" w14:textId="77777777" w:rsidR="008045F1" w:rsidRPr="008045F1" w:rsidRDefault="008045F1" w:rsidP="008045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45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разъяснено- 101 вопрос;</w:t>
      </w:r>
    </w:p>
    <w:p w14:paraId="5674EDA1" w14:textId="77777777" w:rsidR="008045F1" w:rsidRPr="008045F1" w:rsidRDefault="008045F1" w:rsidP="008045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45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не поддержано – 4 вопроса.</w:t>
      </w:r>
    </w:p>
    <w:p w14:paraId="014AB891" w14:textId="77777777" w:rsidR="00B80554" w:rsidRDefault="00B80554" w:rsidP="00B8055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973CCA" w14:textId="1EFA9BB6" w:rsidR="00B80554" w:rsidRDefault="00B80554" w:rsidP="00B8055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Также за 2024 год </w:t>
      </w:r>
      <w:r w:rsidR="003922FF">
        <w:rPr>
          <w:rFonts w:ascii="Times New Roman" w:hAnsi="Times New Roman" w:cs="Times New Roman"/>
          <w:bCs/>
          <w:sz w:val="28"/>
          <w:szCs w:val="28"/>
        </w:rPr>
        <w:t xml:space="preserve">помимо письменных обращений </w:t>
      </w:r>
      <w:r>
        <w:rPr>
          <w:rFonts w:ascii="Times New Roman" w:hAnsi="Times New Roman" w:cs="Times New Roman"/>
          <w:bCs/>
          <w:sz w:val="28"/>
          <w:szCs w:val="28"/>
        </w:rPr>
        <w:t>подано:</w:t>
      </w:r>
    </w:p>
    <w:p w14:paraId="0703C803" w14:textId="77777777" w:rsidR="00B80554" w:rsidRPr="00202BBB" w:rsidRDefault="00B80554" w:rsidP="00B8055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Pr="00202BBB">
        <w:rPr>
          <w:rFonts w:ascii="Times New Roman" w:hAnsi="Times New Roman" w:cs="Times New Roman"/>
          <w:bCs/>
          <w:sz w:val="28"/>
          <w:szCs w:val="28"/>
        </w:rPr>
        <w:t>латформ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02BBB">
        <w:rPr>
          <w:rFonts w:ascii="Times New Roman" w:hAnsi="Times New Roman" w:cs="Times New Roman"/>
          <w:bCs/>
          <w:sz w:val="28"/>
          <w:szCs w:val="28"/>
        </w:rPr>
        <w:t xml:space="preserve"> обратной связи </w:t>
      </w:r>
      <w:r>
        <w:rPr>
          <w:rFonts w:ascii="Times New Roman" w:hAnsi="Times New Roman" w:cs="Times New Roman"/>
          <w:bCs/>
          <w:sz w:val="28"/>
          <w:szCs w:val="28"/>
        </w:rPr>
        <w:t>- 31</w:t>
      </w:r>
      <w:r w:rsidRPr="00202BBB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71CC3AA" w14:textId="77777777" w:rsidR="00B80554" w:rsidRPr="00202BBB" w:rsidRDefault="00B80554" w:rsidP="00B8055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BBB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202BBB">
        <w:rPr>
          <w:rFonts w:ascii="Times New Roman" w:hAnsi="Times New Roman" w:cs="Times New Roman"/>
          <w:bCs/>
          <w:sz w:val="28"/>
          <w:szCs w:val="28"/>
        </w:rPr>
        <w:t xml:space="preserve">рямая линия (ОНФ) </w:t>
      </w:r>
      <w:r>
        <w:rPr>
          <w:rFonts w:ascii="Times New Roman" w:hAnsi="Times New Roman" w:cs="Times New Roman"/>
          <w:bCs/>
          <w:sz w:val="28"/>
          <w:szCs w:val="28"/>
        </w:rPr>
        <w:t>– 47.</w:t>
      </w:r>
    </w:p>
    <w:p w14:paraId="658B252A" w14:textId="49FF434E" w:rsidR="00B80554" w:rsidRDefault="00B80554" w:rsidP="00B8055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BBB">
        <w:rPr>
          <w:rFonts w:ascii="Times New Roman" w:hAnsi="Times New Roman" w:cs="Times New Roman"/>
          <w:bCs/>
          <w:sz w:val="28"/>
          <w:szCs w:val="28"/>
        </w:rPr>
        <w:t>- система «Инцидент менеджмент»</w:t>
      </w:r>
      <w:r>
        <w:rPr>
          <w:rFonts w:ascii="Times New Roman" w:hAnsi="Times New Roman" w:cs="Times New Roman"/>
          <w:bCs/>
          <w:sz w:val="28"/>
          <w:szCs w:val="28"/>
        </w:rPr>
        <w:t>- 1</w:t>
      </w:r>
      <w:r w:rsidR="006B6254">
        <w:rPr>
          <w:rFonts w:ascii="Times New Roman" w:hAnsi="Times New Roman" w:cs="Times New Roman"/>
          <w:bCs/>
          <w:sz w:val="28"/>
          <w:szCs w:val="28"/>
        </w:rPr>
        <w:t>99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61D9AAB" w14:textId="77777777" w:rsidR="00B80554" w:rsidRPr="00202BBB" w:rsidRDefault="00B80554" w:rsidP="00B8055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525CD7" w14:textId="6B63A018" w:rsidR="005E4F17" w:rsidRPr="00E3185F" w:rsidRDefault="00BD3A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185F">
        <w:rPr>
          <w:rFonts w:ascii="Times New Roman" w:hAnsi="Times New Roman" w:cs="Times New Roman"/>
          <w:b/>
          <w:bCs/>
          <w:sz w:val="28"/>
          <w:szCs w:val="28"/>
        </w:rPr>
        <w:t>Личный прием граждан</w:t>
      </w:r>
    </w:p>
    <w:p w14:paraId="21013DA0" w14:textId="77777777" w:rsidR="00E3185F" w:rsidRPr="00E3185F" w:rsidRDefault="00E3185F" w:rsidP="00E318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318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2024 году на приеме у должностных лиц Администрации Атяшевского муниципального района, уполномоченных вести прием граждан побывало 74 человека (79 вопросов) (АППГ-67).</w:t>
      </w:r>
    </w:p>
    <w:p w14:paraId="47A5F65F" w14:textId="77777777" w:rsidR="00E3185F" w:rsidRPr="00E3185F" w:rsidRDefault="00E3185F" w:rsidP="00E318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318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Тематика обращений разнообразна: оказание помощи участникам СВО и семьям участников СВО, улучшение жилищных условий, ремонт дорог, устранение несанкционированных свалок и другие.</w:t>
      </w:r>
    </w:p>
    <w:p w14:paraId="44E96CC8" w14:textId="05CF458F" w:rsidR="00E3185F" w:rsidRDefault="00E3185F" w:rsidP="00E318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318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Все вопросы взяты на контроль. Заявителям даны ответы и рекомендации, проведены консультации. </w:t>
      </w:r>
    </w:p>
    <w:p w14:paraId="7BAC3771" w14:textId="3E28DCAD" w:rsidR="00E3185F" w:rsidRDefault="00E3185F" w:rsidP="00E318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A6A1C1" w14:textId="73321857" w:rsidR="00E3185F" w:rsidRPr="00E3185F" w:rsidRDefault="00E3185F" w:rsidP="00E318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3185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Выездной прием</w:t>
      </w:r>
    </w:p>
    <w:p w14:paraId="63DCC10E" w14:textId="77777777" w:rsidR="00E3185F" w:rsidRPr="00E3185F" w:rsidRDefault="00E3185F" w:rsidP="00E318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C23D2F" w14:textId="77777777" w:rsidR="00E3185F" w:rsidRPr="00E3185F" w:rsidRDefault="00E3185F" w:rsidP="00E31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318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1 квартале текущего года был организован выездной прием граждан по личным вопросам на территории 6 сельских поселений района рабочей группой под руководством Главы Атяшевского муниципального района Николаева К.Н. </w:t>
      </w:r>
    </w:p>
    <w:p w14:paraId="46B21C4D" w14:textId="77777777" w:rsidR="00E3185F" w:rsidRPr="00E3185F" w:rsidRDefault="00E3185F" w:rsidP="00E31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318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составе рабочей группы в выездном приеме приняли участие представители ГБУЗ «Атяшевская районная больница», ГКУ «Социальная защита населения по Атяшевскому району», Управления Социального фонда России в Атяшевском муниципальном районе, Территориального отдела содействия занятости населения по Атяшевскому району.</w:t>
      </w:r>
    </w:p>
    <w:p w14:paraId="39F482DA" w14:textId="77777777" w:rsidR="00E3185F" w:rsidRPr="00E3185F" w:rsidRDefault="00E3185F" w:rsidP="00E31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318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График проведения приема граждан был предварительно опубликован в районной газете «Вперед», а также на официальном сайте органов местного самоуправления Атяшевского района.  </w:t>
      </w:r>
    </w:p>
    <w:p w14:paraId="744CA69B" w14:textId="77777777" w:rsidR="00E3185F" w:rsidRPr="00E3185F" w:rsidRDefault="00E3185F" w:rsidP="00E318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318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За время проведения выездных приемов в адрес Главы района поступило порядка 29 обращений. Вопросы, с которыми обратились жители района, касались жилищно-коммунального хозяйства, благоустройства, </w:t>
      </w:r>
      <w:r w:rsidRPr="00E318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здравоохранения, социального обеспечения, правового информирования и других сфер. </w:t>
      </w:r>
    </w:p>
    <w:p w14:paraId="3BA0781A" w14:textId="77777777" w:rsidR="00E3185F" w:rsidRPr="00E3185F" w:rsidRDefault="00E3185F" w:rsidP="00E318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318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Все вопросы взяты на контроль. Заявителям даны ответы и рекомендации, проведены консультации. </w:t>
      </w:r>
    </w:p>
    <w:p w14:paraId="162C5796" w14:textId="77777777" w:rsidR="00E3185F" w:rsidRPr="00E3185F" w:rsidRDefault="00E3185F" w:rsidP="00E318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40CDFA" w14:textId="4491C628" w:rsidR="00E3185F" w:rsidRPr="00E3185F" w:rsidRDefault="00CF3B58" w:rsidP="00CF3B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3B58">
        <w:rPr>
          <w:rFonts w:ascii="Times New Roman" w:hAnsi="Times New Roman" w:cs="Times New Roman"/>
          <w:sz w:val="28"/>
          <w:szCs w:val="28"/>
        </w:rPr>
        <w:t>Работа с обращениями граждан находится на постоянном контроле.</w:t>
      </w:r>
    </w:p>
    <w:sectPr w:rsidR="00E3185F" w:rsidRPr="00E31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17"/>
    <w:rsid w:val="00006C0A"/>
    <w:rsid w:val="000109AB"/>
    <w:rsid w:val="0004404E"/>
    <w:rsid w:val="000630B5"/>
    <w:rsid w:val="001217CE"/>
    <w:rsid w:val="00136775"/>
    <w:rsid w:val="00202BBB"/>
    <w:rsid w:val="00206A40"/>
    <w:rsid w:val="003565D7"/>
    <w:rsid w:val="003922FF"/>
    <w:rsid w:val="0043289E"/>
    <w:rsid w:val="00490E9C"/>
    <w:rsid w:val="004A68CE"/>
    <w:rsid w:val="00513D11"/>
    <w:rsid w:val="005E4F17"/>
    <w:rsid w:val="00603F88"/>
    <w:rsid w:val="00695098"/>
    <w:rsid w:val="006B6254"/>
    <w:rsid w:val="006E306B"/>
    <w:rsid w:val="00730243"/>
    <w:rsid w:val="007D138B"/>
    <w:rsid w:val="007D65D8"/>
    <w:rsid w:val="0080004E"/>
    <w:rsid w:val="008045F1"/>
    <w:rsid w:val="00836EE6"/>
    <w:rsid w:val="00854BED"/>
    <w:rsid w:val="008B430C"/>
    <w:rsid w:val="008E15BE"/>
    <w:rsid w:val="00947B80"/>
    <w:rsid w:val="00B0598C"/>
    <w:rsid w:val="00B22746"/>
    <w:rsid w:val="00B80554"/>
    <w:rsid w:val="00B80E7D"/>
    <w:rsid w:val="00BD3A95"/>
    <w:rsid w:val="00CA76A7"/>
    <w:rsid w:val="00CC3765"/>
    <w:rsid w:val="00CF3B58"/>
    <w:rsid w:val="00D27F55"/>
    <w:rsid w:val="00D826D6"/>
    <w:rsid w:val="00DA5E7A"/>
    <w:rsid w:val="00DA7D84"/>
    <w:rsid w:val="00DC2DA3"/>
    <w:rsid w:val="00DC37DF"/>
    <w:rsid w:val="00E3185F"/>
    <w:rsid w:val="00E75C9E"/>
    <w:rsid w:val="00E941BE"/>
    <w:rsid w:val="00EF7860"/>
    <w:rsid w:val="00F74F0E"/>
    <w:rsid w:val="00F8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E378"/>
  <w15:chartTrackingRefBased/>
  <w15:docId w15:val="{95B00C16-0B0B-497F-9CAF-B77E18EB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4F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F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F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F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F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F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F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4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4F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4F1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4F1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4F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4F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4F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4F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4F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E4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F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4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4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4F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4F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4F1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4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4F1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E4F17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E75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75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microsoft.com/office/2014/relationships/chartEx" Target="charts/chartEx1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1" u="none" strike="noStrike" baseline="0">
                <a:effectLst/>
              </a:rPr>
              <a:t>Диаграмма 1. Распределение письменных обращений граждан за отчетные периоды 2023-2024 гг</a:t>
            </a:r>
            <a:endParaRPr lang="ru-RU"/>
          </a:p>
        </c:rich>
      </c:tx>
      <c:layout>
        <c:manualLayout>
          <c:xMode val="edge"/>
          <c:yMode val="edge"/>
          <c:x val="0.13355617968136146"/>
          <c:y val="1.92307692307692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1"/>
                <c:pt idx="0">
                  <c:v>Благоустройство территории</c:v>
                </c:pt>
                <c:pt idx="1">
                  <c:v>Содержание общедомового имущества (работа</c:v>
                </c:pt>
                <c:pt idx="2">
                  <c:v>Транспортное сообщение</c:v>
                </c:pt>
                <c:pt idx="3">
                  <c:v>Предоставление коммунальных услуг</c:v>
                </c:pt>
                <c:pt idx="4">
                  <c:v>Другие вопросы </c:v>
                </c:pt>
                <c:pt idx="5">
                  <c:v>Улучшение жилищных условий</c:v>
                </c:pt>
                <c:pt idx="6">
                  <c:v>Земельные отношения</c:v>
                </c:pt>
                <c:pt idx="7">
                  <c:v>Дорожное хозяйство</c:v>
                </c:pt>
                <c:pt idx="8">
                  <c:v>Газификация, водоснабжение, электрификация</c:v>
                </c:pt>
                <c:pt idx="9">
                  <c:v>Образование и культура</c:v>
                </c:pt>
                <c:pt idx="10">
                  <c:v>Мобилизация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</c:v>
                </c:pt>
                <c:pt idx="1">
                  <c:v>4</c:v>
                </c:pt>
                <c:pt idx="2">
                  <c:v>2</c:v>
                </c:pt>
                <c:pt idx="3">
                  <c:v>4</c:v>
                </c:pt>
                <c:pt idx="4">
                  <c:v>28</c:v>
                </c:pt>
                <c:pt idx="5">
                  <c:v>21</c:v>
                </c:pt>
                <c:pt idx="6">
                  <c:v>25</c:v>
                </c:pt>
                <c:pt idx="7">
                  <c:v>17</c:v>
                </c:pt>
                <c:pt idx="8">
                  <c:v>10</c:v>
                </c:pt>
                <c:pt idx="9">
                  <c:v>0</c:v>
                </c:pt>
                <c:pt idx="10">
                  <c:v>19</c:v>
                </c:pt>
                <c:pt idx="11">
                  <c:v>131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7F-4D92-8B33-C9AC9B7510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1"/>
                <c:pt idx="0">
                  <c:v>Благоустройство территории</c:v>
                </c:pt>
                <c:pt idx="1">
                  <c:v>Содержание общедомового имущества (работа</c:v>
                </c:pt>
                <c:pt idx="2">
                  <c:v>Транспортное сообщение</c:v>
                </c:pt>
                <c:pt idx="3">
                  <c:v>Предоставление коммунальных услуг</c:v>
                </c:pt>
                <c:pt idx="4">
                  <c:v>Другие вопросы </c:v>
                </c:pt>
                <c:pt idx="5">
                  <c:v>Улучшение жилищных условий</c:v>
                </c:pt>
                <c:pt idx="6">
                  <c:v>Земельные отношения</c:v>
                </c:pt>
                <c:pt idx="7">
                  <c:v>Дорожное хозяйство</c:v>
                </c:pt>
                <c:pt idx="8">
                  <c:v>Газификация, водоснабжение, электрификация</c:v>
                </c:pt>
                <c:pt idx="9">
                  <c:v>Образование и культура</c:v>
                </c:pt>
                <c:pt idx="10">
                  <c:v>Мобилизация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3</c:v>
                </c:pt>
                <c:pt idx="1">
                  <c:v>1</c:v>
                </c:pt>
                <c:pt idx="2">
                  <c:v>4</c:v>
                </c:pt>
                <c:pt idx="3">
                  <c:v>1</c:v>
                </c:pt>
                <c:pt idx="4">
                  <c:v>45</c:v>
                </c:pt>
                <c:pt idx="5">
                  <c:v>7</c:v>
                </c:pt>
                <c:pt idx="6">
                  <c:v>11</c:v>
                </c:pt>
                <c:pt idx="7">
                  <c:v>17</c:v>
                </c:pt>
                <c:pt idx="8">
                  <c:v>8</c:v>
                </c:pt>
                <c:pt idx="9">
                  <c:v>5</c:v>
                </c:pt>
                <c:pt idx="10">
                  <c:v>27</c:v>
                </c:pt>
                <c:pt idx="11">
                  <c:v>129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B7F-4D92-8B33-C9AC9B7510A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1"/>
                <c:pt idx="0">
                  <c:v>Благоустройство территории</c:v>
                </c:pt>
                <c:pt idx="1">
                  <c:v>Содержание общедомового имущества (работа</c:v>
                </c:pt>
                <c:pt idx="2">
                  <c:v>Транспортное сообщение</c:v>
                </c:pt>
                <c:pt idx="3">
                  <c:v>Предоставление коммунальных услуг</c:v>
                </c:pt>
                <c:pt idx="4">
                  <c:v>Другие вопросы </c:v>
                </c:pt>
                <c:pt idx="5">
                  <c:v>Улучшение жилищных условий</c:v>
                </c:pt>
                <c:pt idx="6">
                  <c:v>Земельные отношения</c:v>
                </c:pt>
                <c:pt idx="7">
                  <c:v>Дорожное хозяйство</c:v>
                </c:pt>
                <c:pt idx="8">
                  <c:v>Газификация, водоснабжение, электрификация</c:v>
                </c:pt>
                <c:pt idx="9">
                  <c:v>Образование и культура</c:v>
                </c:pt>
                <c:pt idx="10">
                  <c:v>Мобилизация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2-9B7F-4D92-8B33-C9AC9B7510A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8173328"/>
        <c:axId val="2118173808"/>
      </c:barChart>
      <c:catAx>
        <c:axId val="2118173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8173808"/>
        <c:crosses val="autoZero"/>
        <c:auto val="1"/>
        <c:lblAlgn val="ctr"/>
        <c:lblOffset val="100"/>
        <c:noMultiLvlLbl val="0"/>
      </c:catAx>
      <c:valAx>
        <c:axId val="2118173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8173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Лист1!$A$2:$A$7</cx:f>
        <cx:lvl ptCount="6">
          <cx:pt idx="0">ремонт дорог и мостов 17-13%</cx:pt>
          <cx:pt idx="1">социальные вопросы 14-10,8%</cx:pt>
          <cx:pt idx="2">земельные вопросы 11-8,5%</cx:pt>
          <cx:pt idx="3">жилищные вопросы 7-5,4%</cx:pt>
          <cx:pt idx="4">ликвидация несанкционированных свалок 6-4,6%</cx:pt>
          <cx:pt idx="5">отсутствие уличного освещения 4-3,1%</cx:pt>
        </cx:lvl>
      </cx:strDim>
      <cx:numDim type="size">
        <cx:f>Лист1!$B$2:$B$7</cx:f>
        <cx:lvl ptCount="6" formatCode="Основной">
          <cx:pt idx="0">17</cx:pt>
          <cx:pt idx="1">14</cx:pt>
          <cx:pt idx="2">11</cx:pt>
          <cx:pt idx="3">7</cx:pt>
          <cx:pt idx="4">6</cx:pt>
          <cx:pt idx="5">4</cx:pt>
        </cx:lvl>
      </cx:numDim>
    </cx:data>
    <cx:data id="1">
      <cx:strDim type="cat">
        <cx:f>Лист1!$A$2:$A$7</cx:f>
        <cx:lvl ptCount="6">
          <cx:pt idx="0">ремонт дорог и мостов 17-13%</cx:pt>
          <cx:pt idx="1">социальные вопросы 14-10,8%</cx:pt>
          <cx:pt idx="2">земельные вопросы 11-8,5%</cx:pt>
          <cx:pt idx="3">жилищные вопросы 7-5,4%</cx:pt>
          <cx:pt idx="4">ликвидация несанкционированных свалок 6-4,6%</cx:pt>
          <cx:pt idx="5">отсутствие уличного освещения 4-3,1%</cx:pt>
        </cx:lvl>
      </cx:strDim>
      <cx:numDim type="size">
        <cx:f>Лист1!$C$2:$C$7</cx:f>
        <cx:lvl ptCount="6" formatCode="0,00%">
          <cx:pt idx="0">0.13</cx:pt>
          <cx:pt idx="1">0.108</cx:pt>
          <cx:pt idx="2">0.085000000000000006</cx:pt>
          <cx:pt idx="3">0.053999999999999999</cx:pt>
          <cx:pt idx="4">0.045999999999999999</cx:pt>
          <cx:pt idx="5">0.031</cx:pt>
        </cx:lvl>
      </cx:numDim>
    </cx:data>
    <cx:data id="2"/>
  </cx:chartData>
  <cx:chart>
    <cx:title pos="t" align="ctr" overlay="0"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endParaRPr lang="ru-RU" sz="1400" b="0" i="0" u="none" strike="noStrike" kern="1200" spc="0" baseline="0">
            <a:solidFill>
              <a:sysClr val="windowText" lastClr="000000">
                <a:lumMod val="65000"/>
                <a:lumOff val="35000"/>
              </a:sysClr>
            </a:solidFill>
            <a:latin typeface="Calibri" panose="020F0502020204030204"/>
          </a:endParaRPr>
        </a:p>
      </cx:txPr>
    </cx:title>
    <cx:plotArea>
      <cx:plotAreaRegion>
        <cx:series layoutId="sunburst" uniqueId="{0E6893DC-477B-4C8D-A2EE-8D8200E80D30}" formatIdx="0">
          <cx:tx>
            <cx:txData>
              <cx:f>Лист1!$B$1</cx:f>
              <cx:v>Столбец2</cx:v>
            </cx:txData>
          </cx:tx>
          <cx:dataLabels pos="ctr">
            <cx:visibility seriesName="0" categoryName="1" value="0"/>
          </cx:dataLabels>
          <cx:dataId val="0"/>
        </cx:series>
        <cx:series layoutId="sunburst" hidden="1" uniqueId="{893AA8A1-A8DD-4028-9DD4-45C5491B91C5}" formatIdx="1">
          <cx:tx>
            <cx:txData>
              <cx:f>Лист1!$C$1</cx:f>
              <cx:v>Столбец1</cx:v>
            </cx:txData>
          </cx:tx>
          <cx:dataLabels pos="ctr">
            <cx:visibility seriesName="0" categoryName="1" value="0"/>
          </cx:dataLabels>
          <cx:dataId val="1"/>
        </cx:series>
        <cx:series layoutId="sunburst" hidden="1" uniqueId="{00000002-DB8F-4EB7-B552-4233A5EC0E71}" formatIdx="2">
          <cx:dataId val="2"/>
        </cx:series>
      </cx:plotAreaRegion>
    </cx:plotArea>
    <cx:legend pos="r" align="ctr" overlay="0"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endParaRPr lang="ru-RU" sz="900" b="0" i="0" u="none" strike="noStrike" baseline="0">
            <a:solidFill>
              <a:sysClr val="windowText" lastClr="000000">
                <a:lumMod val="75000"/>
                <a:lumOff val="25000"/>
              </a:sysClr>
            </a:solidFill>
            <a:latin typeface="Calibri" panose="020F0502020204030204"/>
          </a:endParaRPr>
        </a:p>
      </cx:txPr>
    </cx:legend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8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lt1"/>
    </cs:fontRef>
    <cs:defRPr sz="9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75000"/>
            <a:lumOff val="2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  <a:lumOff val="10000"/>
              </a:schemeClr>
            </a:gs>
            <a:gs pos="0">
              <a:schemeClr val="lt1">
                <a:lumMod val="75000"/>
                <a:alpha val="36000"/>
                <a:lumOff val="10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dk1"/>
    </cs:fontRef>
    <cs:spPr>
      <a:ln w="9525" cap="flat">
        <a:solidFill>
          <a:schemeClr val="bg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/>
  </cs:title>
  <cs:trendline>
    <cs:lnRef idx="0"/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defRPr sz="9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Джалилов</dc:creator>
  <cp:keywords/>
  <dc:description/>
  <cp:lastModifiedBy>Admin</cp:lastModifiedBy>
  <cp:revision>4</cp:revision>
  <dcterms:created xsi:type="dcterms:W3CDTF">2025-01-21T06:24:00Z</dcterms:created>
  <dcterms:modified xsi:type="dcterms:W3CDTF">2025-01-23T05:24:00Z</dcterms:modified>
</cp:coreProperties>
</file>