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B4D5" w14:textId="1C07B762" w:rsidR="006758AB" w:rsidRPr="003C3D10" w:rsidRDefault="006758AB" w:rsidP="006758AB">
      <w:pPr>
        <w:pStyle w:val="Default"/>
        <w:jc w:val="center"/>
        <w:rPr>
          <w:lang w:val="ru-RU"/>
        </w:rPr>
      </w:pPr>
      <w:r>
        <w:rPr>
          <w:b/>
          <w:sz w:val="28"/>
          <w:lang w:val="ru-RU"/>
        </w:rPr>
        <w:t>Протокол №</w:t>
      </w:r>
      <w:r w:rsidR="00BA62D2">
        <w:rPr>
          <w:b/>
          <w:sz w:val="28"/>
          <w:lang w:val="ru-RU"/>
        </w:rPr>
        <w:t>2</w:t>
      </w:r>
    </w:p>
    <w:p w14:paraId="57A117D5" w14:textId="77777777" w:rsidR="006758AB" w:rsidRDefault="006758AB" w:rsidP="006758AB">
      <w:pPr>
        <w:pStyle w:val="Default"/>
        <w:jc w:val="center"/>
        <w:rPr>
          <w:b/>
          <w:sz w:val="28"/>
          <w:lang w:val="ru-RU"/>
        </w:rPr>
      </w:pPr>
    </w:p>
    <w:p w14:paraId="5A1C3905" w14:textId="77777777" w:rsidR="006758AB" w:rsidRPr="00E074F1" w:rsidRDefault="006758AB" w:rsidP="006758AB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рабочей группы по разработке и реализации </w:t>
      </w:r>
      <w:r w:rsidRPr="00E074F1">
        <w:rPr>
          <w:b/>
          <w:sz w:val="28"/>
          <w:lang w:val="ru-RU"/>
        </w:rPr>
        <w:t>Плана мероприятий («дорожной карты») Атяшевского муниципального района по содействию развитию конкуренции</w:t>
      </w:r>
    </w:p>
    <w:p w14:paraId="07C44B36" w14:textId="77777777" w:rsidR="006758AB" w:rsidRDefault="006758AB" w:rsidP="006758AB">
      <w:pPr>
        <w:pStyle w:val="Default"/>
        <w:jc w:val="center"/>
        <w:rPr>
          <w:b/>
          <w:sz w:val="28"/>
          <w:lang w:val="ru-RU"/>
        </w:rPr>
      </w:pPr>
    </w:p>
    <w:p w14:paraId="10861AA8" w14:textId="6E1B2C03" w:rsidR="006758AB" w:rsidRDefault="006758AB" w:rsidP="006758AB">
      <w:pPr>
        <w:pStyle w:val="Default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рп</w:t>
      </w:r>
      <w:r w:rsidR="003E3093">
        <w:rPr>
          <w:sz w:val="28"/>
          <w:lang w:val="ru-RU"/>
        </w:rPr>
        <w:t>.</w:t>
      </w:r>
      <w:r>
        <w:rPr>
          <w:sz w:val="28"/>
          <w:lang w:val="ru-RU"/>
        </w:rPr>
        <w:t xml:space="preserve"> Атяшево                                                                               </w:t>
      </w:r>
      <w:r w:rsidR="00BA62D2">
        <w:rPr>
          <w:sz w:val="28"/>
          <w:lang w:val="ru-RU"/>
        </w:rPr>
        <w:t>11</w:t>
      </w:r>
      <w:r w:rsidR="00FD7F7B">
        <w:rPr>
          <w:sz w:val="28"/>
          <w:lang w:val="ru-RU"/>
        </w:rPr>
        <w:t xml:space="preserve"> </w:t>
      </w:r>
      <w:r w:rsidR="00BA62D2">
        <w:rPr>
          <w:sz w:val="28"/>
          <w:lang w:val="ru-RU"/>
        </w:rPr>
        <w:t>августа</w:t>
      </w:r>
      <w:r w:rsidR="00624BC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202</w:t>
      </w:r>
      <w:r w:rsidR="00007CC0">
        <w:rPr>
          <w:sz w:val="28"/>
          <w:lang w:val="ru-RU"/>
        </w:rPr>
        <w:t>3</w:t>
      </w:r>
      <w:r w:rsidR="00624BC5">
        <w:rPr>
          <w:sz w:val="28"/>
          <w:lang w:val="ru-RU"/>
        </w:rPr>
        <w:t xml:space="preserve"> </w:t>
      </w:r>
      <w:r>
        <w:rPr>
          <w:sz w:val="28"/>
          <w:lang w:val="ru-RU"/>
        </w:rPr>
        <w:t>г.</w:t>
      </w:r>
    </w:p>
    <w:p w14:paraId="03B94FD0" w14:textId="77777777" w:rsidR="006758AB" w:rsidRDefault="006758AB" w:rsidP="006758AB">
      <w:pPr>
        <w:pStyle w:val="Default"/>
        <w:jc w:val="center"/>
        <w:rPr>
          <w:sz w:val="28"/>
          <w:lang w:val="ru-RU"/>
        </w:rPr>
      </w:pPr>
    </w:p>
    <w:p w14:paraId="77379B8D" w14:textId="5ECD8B34" w:rsidR="006758AB" w:rsidRDefault="006758AB" w:rsidP="006758AB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>
        <w:rPr>
          <w:b/>
          <w:bCs/>
          <w:sz w:val="28"/>
          <w:lang w:val="ru-RU"/>
        </w:rPr>
        <w:t xml:space="preserve">Председательствующий </w:t>
      </w:r>
      <w:r>
        <w:rPr>
          <w:sz w:val="28"/>
          <w:lang w:val="ru-RU"/>
        </w:rPr>
        <w:t>– Алешина М.С., председатель рабочей группы по разработке и реализации Плана мероприятий («дорожной карты») Атяшевского муниципального района по содействию развитию конкуренции</w:t>
      </w:r>
    </w:p>
    <w:p w14:paraId="2B576AE2" w14:textId="77777777" w:rsidR="006758AB" w:rsidRDefault="006758AB" w:rsidP="006758AB">
      <w:pPr>
        <w:pStyle w:val="Default"/>
        <w:jc w:val="both"/>
        <w:rPr>
          <w:sz w:val="28"/>
          <w:lang w:val="ru-RU"/>
        </w:rPr>
      </w:pPr>
    </w:p>
    <w:p w14:paraId="53AC20EA" w14:textId="77777777" w:rsidR="006758AB" w:rsidRDefault="006758AB" w:rsidP="006758AB">
      <w:pPr>
        <w:pStyle w:val="Default"/>
        <w:ind w:firstLine="567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Присутствовали:</w:t>
      </w:r>
    </w:p>
    <w:p w14:paraId="0D778F6C" w14:textId="77777777" w:rsidR="006758AB" w:rsidRPr="003C3D10" w:rsidRDefault="006758AB" w:rsidP="006758AB">
      <w:pPr>
        <w:pStyle w:val="Default"/>
        <w:ind w:firstLine="567"/>
        <w:jc w:val="both"/>
        <w:rPr>
          <w:lang w:val="ru-RU"/>
        </w:rPr>
      </w:pPr>
      <w:r>
        <w:rPr>
          <w:sz w:val="28"/>
          <w:lang w:val="ru-RU"/>
        </w:rPr>
        <w:t>Члены рабочей группы по содействию развитию конкуренции в Атяшевском муниципальном районе</w:t>
      </w:r>
    </w:p>
    <w:p w14:paraId="3EC5D09E" w14:textId="77777777" w:rsidR="006758AB" w:rsidRDefault="006758AB" w:rsidP="006758AB">
      <w:pPr>
        <w:pStyle w:val="Default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Кворум присутствует.</w:t>
      </w:r>
    </w:p>
    <w:p w14:paraId="51A591F2" w14:textId="77777777" w:rsidR="003B7780" w:rsidRDefault="003B7780" w:rsidP="003B7780">
      <w:pPr>
        <w:pStyle w:val="Default"/>
        <w:jc w:val="center"/>
        <w:rPr>
          <w:sz w:val="28"/>
          <w:lang w:val="ru-RU"/>
        </w:rPr>
      </w:pPr>
    </w:p>
    <w:p w14:paraId="57DCD637" w14:textId="2486B0AE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Повестка дня:</w:t>
      </w:r>
    </w:p>
    <w:p w14:paraId="5E34DA93" w14:textId="77777777" w:rsidR="006444DB" w:rsidRDefault="006444DB" w:rsidP="003B7780">
      <w:pPr>
        <w:pStyle w:val="Default"/>
        <w:jc w:val="center"/>
        <w:rPr>
          <w:b/>
          <w:sz w:val="28"/>
          <w:lang w:val="ru-RU"/>
        </w:rPr>
      </w:pPr>
    </w:p>
    <w:p w14:paraId="2BB05CF5" w14:textId="1C20FBF7" w:rsidR="006444DB" w:rsidRPr="00015444" w:rsidRDefault="006444DB" w:rsidP="006444DB">
      <w:pPr>
        <w:pStyle w:val="Default"/>
        <w:ind w:firstLine="567"/>
        <w:jc w:val="both"/>
        <w:rPr>
          <w:sz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1.</w:t>
      </w:r>
      <w:r w:rsidRPr="00015444">
        <w:rPr>
          <w:rFonts w:eastAsia="Times New Roman" w:cs="Times New Roman"/>
          <w:sz w:val="28"/>
          <w:szCs w:val="28"/>
          <w:lang w:val="ru-RU"/>
        </w:rPr>
        <w:t xml:space="preserve">Ознакомление присутствующих с </w:t>
      </w:r>
      <w:r>
        <w:rPr>
          <w:rFonts w:eastAsia="Times New Roman" w:cs="Times New Roman"/>
          <w:sz w:val="28"/>
          <w:szCs w:val="28"/>
          <w:lang w:val="ru-RU"/>
        </w:rPr>
        <w:t>финальным рейтингом муниципальных образований в Республике Мордовия по развитию конкуренции и обеспечению условий для благоприятного инвестиционного климата за 202</w:t>
      </w:r>
      <w:r w:rsidR="00BA62D2">
        <w:rPr>
          <w:rFonts w:eastAsia="Times New Roman" w:cs="Times New Roman"/>
          <w:sz w:val="28"/>
          <w:szCs w:val="28"/>
          <w:lang w:val="ru-RU"/>
        </w:rPr>
        <w:t>2</w:t>
      </w:r>
      <w:r>
        <w:rPr>
          <w:rFonts w:eastAsia="Times New Roman" w:cs="Times New Roman"/>
          <w:sz w:val="28"/>
          <w:szCs w:val="28"/>
          <w:lang w:val="ru-RU"/>
        </w:rPr>
        <w:t xml:space="preserve"> год</w:t>
      </w:r>
      <w:r w:rsidRPr="00015444">
        <w:rPr>
          <w:rFonts w:eastAsia="Times New Roman" w:cs="Times New Roman"/>
          <w:sz w:val="28"/>
          <w:szCs w:val="28"/>
          <w:lang w:val="ru-RU"/>
        </w:rPr>
        <w:t>.</w:t>
      </w:r>
    </w:p>
    <w:p w14:paraId="27EAE325" w14:textId="137F1A0A" w:rsidR="006444DB" w:rsidRPr="00015444" w:rsidRDefault="006444DB" w:rsidP="006444DB">
      <w:pPr>
        <w:pStyle w:val="Default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>
        <w:rPr>
          <w:rFonts w:eastAsia="Times New Roman" w:cs="Times New Roman"/>
          <w:sz w:val="28"/>
          <w:szCs w:val="28"/>
          <w:lang w:val="ru-RU"/>
        </w:rPr>
        <w:t>Информация об итогах рейтингования по содействию развитию конкуренции в обеспечении условий для благоприятного инвестиционного климата в 202</w:t>
      </w:r>
      <w:r w:rsidR="00BA62D2">
        <w:rPr>
          <w:rFonts w:eastAsia="Times New Roman" w:cs="Times New Roman"/>
          <w:sz w:val="28"/>
          <w:szCs w:val="28"/>
          <w:lang w:val="ru-RU"/>
        </w:rPr>
        <w:t>2</w:t>
      </w:r>
      <w:r>
        <w:rPr>
          <w:rFonts w:eastAsia="Times New Roman" w:cs="Times New Roman"/>
          <w:sz w:val="28"/>
          <w:szCs w:val="28"/>
          <w:lang w:val="ru-RU"/>
        </w:rPr>
        <w:t xml:space="preserve"> году по </w:t>
      </w:r>
      <w:r w:rsidR="006758AB">
        <w:rPr>
          <w:rFonts w:eastAsia="Times New Roman" w:cs="Times New Roman"/>
          <w:sz w:val="28"/>
          <w:szCs w:val="28"/>
          <w:lang w:val="ru-RU"/>
        </w:rPr>
        <w:t>Атяшевско</w:t>
      </w:r>
      <w:r w:rsidR="000208E2">
        <w:rPr>
          <w:rFonts w:eastAsia="Times New Roman" w:cs="Times New Roman"/>
          <w:sz w:val="28"/>
          <w:szCs w:val="28"/>
          <w:lang w:val="ru-RU"/>
        </w:rPr>
        <w:t>му</w:t>
      </w:r>
      <w:r>
        <w:rPr>
          <w:rFonts w:eastAsia="Times New Roman" w:cs="Times New Roman"/>
          <w:sz w:val="28"/>
          <w:szCs w:val="28"/>
          <w:lang w:val="ru-RU"/>
        </w:rPr>
        <w:t xml:space="preserve"> муниципальному району.</w:t>
      </w:r>
    </w:p>
    <w:p w14:paraId="7918C87F" w14:textId="77777777" w:rsidR="006444DB" w:rsidRPr="00015444" w:rsidRDefault="006444DB" w:rsidP="006444DB">
      <w:pPr>
        <w:pStyle w:val="Default"/>
        <w:rPr>
          <w:b/>
          <w:sz w:val="28"/>
          <w:lang w:val="ru-RU"/>
        </w:rPr>
      </w:pPr>
      <w:r w:rsidRPr="00015444">
        <w:rPr>
          <w:b/>
          <w:sz w:val="28"/>
          <w:lang w:val="ru-RU"/>
        </w:rPr>
        <w:t>Выступали:</w:t>
      </w:r>
    </w:p>
    <w:p w14:paraId="46D0A9F8" w14:textId="15A39687" w:rsidR="006444DB" w:rsidRDefault="006444DB" w:rsidP="006444DB">
      <w:pPr>
        <w:pStyle w:val="Default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lang w:val="ru-RU"/>
        </w:rPr>
        <w:t xml:space="preserve">    </w:t>
      </w:r>
      <w:r w:rsidR="000208E2">
        <w:rPr>
          <w:b/>
          <w:bCs/>
          <w:sz w:val="28"/>
          <w:lang w:val="ru-RU"/>
        </w:rPr>
        <w:t xml:space="preserve">      Алешина М.С.</w:t>
      </w:r>
      <w:r w:rsidRPr="00015444">
        <w:rPr>
          <w:sz w:val="28"/>
          <w:lang w:val="ru-RU"/>
        </w:rPr>
        <w:t xml:space="preserve"> </w:t>
      </w:r>
      <w:r>
        <w:rPr>
          <w:sz w:val="28"/>
          <w:lang w:val="ru-RU"/>
        </w:rPr>
        <w:t>доложила, что в</w:t>
      </w:r>
      <w:r w:rsidRPr="00015444">
        <w:rPr>
          <w:rFonts w:cs="Times New Roman"/>
          <w:sz w:val="28"/>
          <w:szCs w:val="28"/>
          <w:lang w:val="ru-RU"/>
        </w:rPr>
        <w:t xml:space="preserve"> соответствии со Стандартом развития конкуренции в субъектах Российской Федерации</w:t>
      </w:r>
      <w:r>
        <w:rPr>
          <w:rFonts w:cs="Times New Roman"/>
          <w:sz w:val="28"/>
          <w:szCs w:val="28"/>
          <w:lang w:val="ru-RU"/>
        </w:rPr>
        <w:t>, республиканской «дорожной картой» по содействию развитию конкуренции Уполномоченный орган по развитию конкуренции в Республике Мордовия – Министерство экономики Республики Мордовия подвел итоги деятельности муниципальных образований в Республике Мордовия по содействию развитию конкуренции за 202</w:t>
      </w:r>
      <w:r w:rsidR="00BA62D2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год. Согласно Методике  рейтингования применен подход, при котором учитывались достигнутые значения показателей эффективности деятельности муниципальных образований, обозначенные в модельной структуре (электронной форме), разработанной уполномоченным органом. Также учтены лучшие муниципальные практики по развитию конкуренции, работы по повышению предпринимательской активности населения, привлечению инвестиций и особое мнение членов Координационного совета по развитию конкуренции при Главе Республики Мордовия.</w:t>
      </w:r>
    </w:p>
    <w:p w14:paraId="4E15766B" w14:textId="77777777" w:rsidR="006444DB" w:rsidRPr="00015444" w:rsidRDefault="006444DB" w:rsidP="006444DB">
      <w:pPr>
        <w:pStyle w:val="a3"/>
        <w:ind w:left="0" w:firstLine="340"/>
        <w:jc w:val="both"/>
        <w:rPr>
          <w:sz w:val="28"/>
          <w:szCs w:val="28"/>
          <w:lang w:val="ru-RU"/>
        </w:rPr>
      </w:pPr>
      <w:r w:rsidRPr="00015444">
        <w:rPr>
          <w:rFonts w:cs="Times New Roman"/>
          <w:sz w:val="28"/>
          <w:szCs w:val="28"/>
          <w:lang w:val="ru-RU"/>
        </w:rPr>
        <w:t>Одним из ключевых направлений данной работы стало формирование рейтинга муниципальных образований по содействию развития конкуренции, оценивающего участие муниципальных образований в реализации положений Стандарта.</w:t>
      </w:r>
    </w:p>
    <w:p w14:paraId="4996A96D" w14:textId="77777777" w:rsidR="006444DB" w:rsidRPr="00015444" w:rsidRDefault="006444DB" w:rsidP="006444DB">
      <w:pPr>
        <w:pStyle w:val="Default"/>
        <w:ind w:firstLine="454"/>
        <w:jc w:val="both"/>
        <w:rPr>
          <w:sz w:val="28"/>
          <w:szCs w:val="28"/>
          <w:lang w:val="ru-RU"/>
        </w:rPr>
      </w:pPr>
      <w:r w:rsidRPr="00015444">
        <w:rPr>
          <w:rFonts w:cs="Times New Roman"/>
          <w:sz w:val="28"/>
          <w:szCs w:val="28"/>
          <w:lang w:val="ru-RU"/>
        </w:rPr>
        <w:lastRenderedPageBreak/>
        <w:t xml:space="preserve">В текущем году, при содействии и методологической поддержке Уполномоченного органа, продолжится работа по реализации комплекса мероприятий по выполнению положений Стандарта развития конкуренции в муниципальных образованиях в рамках республиканского Плана мероприятий и муниципальных </w:t>
      </w:r>
      <w:r>
        <w:rPr>
          <w:rFonts w:cs="Times New Roman"/>
          <w:sz w:val="28"/>
          <w:szCs w:val="28"/>
          <w:lang w:val="ru-RU"/>
        </w:rPr>
        <w:t>«дорожных карт»</w:t>
      </w:r>
      <w:r w:rsidRPr="00015444">
        <w:rPr>
          <w:rFonts w:cs="Times New Roman"/>
          <w:sz w:val="28"/>
          <w:szCs w:val="28"/>
          <w:lang w:val="ru-RU"/>
        </w:rPr>
        <w:t>.</w:t>
      </w:r>
    </w:p>
    <w:p w14:paraId="6299202B" w14:textId="77777777" w:rsidR="006444DB" w:rsidRDefault="006444DB" w:rsidP="006444DB">
      <w:pPr>
        <w:pStyle w:val="Default"/>
        <w:jc w:val="both"/>
        <w:rPr>
          <w:sz w:val="28"/>
          <w:lang w:val="ru-RU"/>
        </w:rPr>
      </w:pPr>
    </w:p>
    <w:p w14:paraId="2773FE58" w14:textId="75923263" w:rsidR="006444DB" w:rsidRPr="00015444" w:rsidRDefault="000208E2" w:rsidP="006444DB">
      <w:pPr>
        <w:pStyle w:val="Default"/>
        <w:jc w:val="both"/>
        <w:rPr>
          <w:b/>
          <w:bCs/>
          <w:lang w:val="ru-RU"/>
        </w:rPr>
      </w:pPr>
      <w:r>
        <w:rPr>
          <w:b/>
          <w:bCs/>
          <w:sz w:val="28"/>
          <w:lang w:val="ru-RU"/>
        </w:rPr>
        <w:t xml:space="preserve">      Волкова Т.В.</w:t>
      </w:r>
      <w:r w:rsidRPr="00015444">
        <w:rPr>
          <w:sz w:val="28"/>
          <w:lang w:val="ru-RU"/>
        </w:rPr>
        <w:t xml:space="preserve"> </w:t>
      </w:r>
      <w:r w:rsidR="006444DB">
        <w:rPr>
          <w:b/>
          <w:bCs/>
          <w:sz w:val="28"/>
          <w:lang w:val="ru-RU"/>
        </w:rPr>
        <w:t xml:space="preserve"> </w:t>
      </w:r>
      <w:r w:rsidR="006444DB">
        <w:rPr>
          <w:sz w:val="28"/>
          <w:szCs w:val="28"/>
          <w:lang w:val="ru-RU"/>
        </w:rPr>
        <w:t>выступила с</w:t>
      </w:r>
      <w:r w:rsidR="006444DB">
        <w:rPr>
          <w:rFonts w:eastAsia="Times New Roman" w:cs="Times New Roman"/>
          <w:sz w:val="28"/>
          <w:szCs w:val="28"/>
          <w:lang w:val="ru-RU"/>
        </w:rPr>
        <w:t xml:space="preserve"> информацией об итогах рейтингования по содействию развитию конкуренции в обеспечении условий для благоприятного инвестиционного климата в 202</w:t>
      </w:r>
      <w:r w:rsidR="00BA62D2">
        <w:rPr>
          <w:rFonts w:eastAsia="Times New Roman" w:cs="Times New Roman"/>
          <w:sz w:val="28"/>
          <w:szCs w:val="28"/>
          <w:lang w:val="ru-RU"/>
        </w:rPr>
        <w:t>2</w:t>
      </w:r>
      <w:r w:rsidR="006444DB">
        <w:rPr>
          <w:rFonts w:eastAsia="Times New Roman" w:cs="Times New Roman"/>
          <w:sz w:val="28"/>
          <w:szCs w:val="28"/>
          <w:lang w:val="ru-RU"/>
        </w:rPr>
        <w:t xml:space="preserve"> году по </w:t>
      </w:r>
      <w:r>
        <w:rPr>
          <w:rFonts w:eastAsia="Times New Roman" w:cs="Times New Roman"/>
          <w:sz w:val="28"/>
          <w:szCs w:val="28"/>
          <w:lang w:val="ru-RU"/>
        </w:rPr>
        <w:t>Атяшевскому</w:t>
      </w:r>
      <w:r w:rsidR="006444DB">
        <w:rPr>
          <w:rFonts w:eastAsia="Times New Roman" w:cs="Times New Roman"/>
          <w:sz w:val="28"/>
          <w:szCs w:val="28"/>
          <w:lang w:val="ru-RU"/>
        </w:rPr>
        <w:t xml:space="preserve"> муниципальному району.</w:t>
      </w:r>
    </w:p>
    <w:p w14:paraId="27F13EF3" w14:textId="26F2D981" w:rsidR="006444DB" w:rsidRPr="00CF060E" w:rsidRDefault="006444DB" w:rsidP="006444DB">
      <w:pPr>
        <w:pStyle w:val="a3"/>
        <w:ind w:left="0" w:firstLine="510"/>
        <w:jc w:val="both"/>
        <w:rPr>
          <w:b/>
          <w:sz w:val="28"/>
          <w:szCs w:val="28"/>
          <w:lang w:val="ru-RU"/>
        </w:rPr>
      </w:pPr>
      <w:r w:rsidRPr="00015444">
        <w:rPr>
          <w:rFonts w:eastAsia="Times New Roman" w:cs="Times New Roman"/>
          <w:sz w:val="28"/>
          <w:szCs w:val="28"/>
          <w:lang w:val="ru-RU"/>
        </w:rPr>
        <w:t xml:space="preserve">По итогам рейтингования </w:t>
      </w:r>
      <w:r>
        <w:rPr>
          <w:rFonts w:eastAsia="Times New Roman" w:cs="Times New Roman"/>
          <w:sz w:val="28"/>
          <w:szCs w:val="28"/>
          <w:lang w:val="ru-RU"/>
        </w:rPr>
        <w:t>за 202</w:t>
      </w:r>
      <w:r w:rsidR="00BA62D2">
        <w:rPr>
          <w:rFonts w:eastAsia="Times New Roman" w:cs="Times New Roman"/>
          <w:sz w:val="28"/>
          <w:szCs w:val="28"/>
          <w:lang w:val="ru-RU"/>
        </w:rPr>
        <w:t>2</w:t>
      </w:r>
      <w:r>
        <w:rPr>
          <w:rFonts w:eastAsia="Times New Roman" w:cs="Times New Roman"/>
          <w:sz w:val="28"/>
          <w:szCs w:val="28"/>
          <w:lang w:val="ru-RU"/>
        </w:rPr>
        <w:t xml:space="preserve"> год</w:t>
      </w:r>
      <w:r w:rsidR="000208E2" w:rsidRPr="000208E2">
        <w:rPr>
          <w:rFonts w:cs="Times New Roman"/>
          <w:sz w:val="28"/>
          <w:szCs w:val="28"/>
          <w:lang w:val="ru-RU"/>
        </w:rPr>
        <w:t xml:space="preserve"> </w:t>
      </w:r>
      <w:r w:rsidR="000208E2">
        <w:rPr>
          <w:rFonts w:cs="Times New Roman"/>
          <w:sz w:val="28"/>
          <w:szCs w:val="28"/>
          <w:lang w:val="ru-RU"/>
        </w:rPr>
        <w:t>Атяшевский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015444">
        <w:rPr>
          <w:rFonts w:eastAsia="Times New Roman" w:cs="Times New Roman"/>
          <w:sz w:val="28"/>
          <w:szCs w:val="28"/>
          <w:lang w:val="ru-RU"/>
        </w:rPr>
        <w:t xml:space="preserve">муниципальный район занял </w:t>
      </w:r>
      <w:r w:rsidR="00BA62D2">
        <w:rPr>
          <w:rFonts w:eastAsia="Times New Roman" w:cs="Times New Roman"/>
          <w:b/>
          <w:sz w:val="28"/>
          <w:szCs w:val="28"/>
          <w:lang w:val="ru-RU"/>
        </w:rPr>
        <w:t>8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015444">
        <w:rPr>
          <w:rFonts w:eastAsia="Times New Roman" w:cs="Times New Roman"/>
          <w:b/>
          <w:bCs/>
          <w:sz w:val="28"/>
          <w:szCs w:val="28"/>
          <w:lang w:val="ru-RU"/>
        </w:rPr>
        <w:t>место.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ru-RU"/>
        </w:rPr>
        <w:t>По итогам работы за 20</w:t>
      </w:r>
      <w:r w:rsidR="00153BBA">
        <w:rPr>
          <w:rFonts w:eastAsia="Times New Roman" w:cs="Times New Roman"/>
          <w:bCs/>
          <w:sz w:val="28"/>
          <w:szCs w:val="28"/>
          <w:lang w:val="ru-RU"/>
        </w:rPr>
        <w:t>2</w:t>
      </w:r>
      <w:r w:rsidR="00BA62D2">
        <w:rPr>
          <w:rFonts w:eastAsia="Times New Roman" w:cs="Times New Roman"/>
          <w:bCs/>
          <w:sz w:val="28"/>
          <w:szCs w:val="28"/>
          <w:lang w:val="ru-RU"/>
        </w:rPr>
        <w:t>1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 год район занимал  </w:t>
      </w:r>
      <w:r w:rsidR="00BA62D2">
        <w:rPr>
          <w:rFonts w:eastAsia="Times New Roman" w:cs="Times New Roman"/>
          <w:b/>
          <w:bCs/>
          <w:sz w:val="28"/>
          <w:szCs w:val="28"/>
          <w:lang w:val="ru-RU"/>
        </w:rPr>
        <w:t>4</w:t>
      </w:r>
      <w:r w:rsidRPr="00CF060E">
        <w:rPr>
          <w:rFonts w:eastAsia="Times New Roman" w:cs="Times New Roman"/>
          <w:b/>
          <w:bCs/>
          <w:sz w:val="28"/>
          <w:szCs w:val="28"/>
          <w:lang w:val="ru-RU"/>
        </w:rPr>
        <w:t xml:space="preserve"> место.</w:t>
      </w:r>
    </w:p>
    <w:p w14:paraId="6D08C6F8" w14:textId="77777777" w:rsidR="006444DB" w:rsidRDefault="006444DB" w:rsidP="006444DB">
      <w:pPr>
        <w:pStyle w:val="Default"/>
        <w:jc w:val="both"/>
        <w:rPr>
          <w:b/>
          <w:bCs/>
          <w:sz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>
        <w:rPr>
          <w:b/>
          <w:bCs/>
          <w:sz w:val="28"/>
          <w:lang w:val="ru-RU"/>
        </w:rPr>
        <w:t>Решили:</w:t>
      </w:r>
    </w:p>
    <w:p w14:paraId="04C5F802" w14:textId="77777777" w:rsidR="006444DB" w:rsidRDefault="006444DB" w:rsidP="006444DB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>1. Принять к сведению представленную информацию.</w:t>
      </w:r>
    </w:p>
    <w:p w14:paraId="40D54AB5" w14:textId="56577B0A" w:rsidR="00153BBA" w:rsidRDefault="006444DB" w:rsidP="006444DB">
      <w:pPr>
        <w:pStyle w:val="Defaul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lang w:val="ru-RU"/>
        </w:rPr>
        <w:t>2. В</w:t>
      </w:r>
      <w:r>
        <w:rPr>
          <w:rFonts w:eastAsia="Times New Roman" w:cs="Times New Roman"/>
          <w:sz w:val="28"/>
          <w:szCs w:val="28"/>
          <w:lang w:val="ru-RU"/>
        </w:rPr>
        <w:t xml:space="preserve"> целом, анализ результатов свидетельствует, что </w:t>
      </w:r>
      <w:r w:rsidR="00153BBA">
        <w:rPr>
          <w:rFonts w:eastAsia="Times New Roman" w:cs="Times New Roman"/>
          <w:sz w:val="28"/>
          <w:szCs w:val="28"/>
          <w:lang w:val="ru-RU"/>
        </w:rPr>
        <w:t xml:space="preserve">Атяшевский </w:t>
      </w:r>
      <w:r>
        <w:rPr>
          <w:rFonts w:eastAsia="Times New Roman" w:cs="Times New Roman"/>
          <w:sz w:val="28"/>
          <w:szCs w:val="28"/>
          <w:lang w:val="ru-RU"/>
        </w:rPr>
        <w:t>муниципальный район реализует Стандарт развития конкуренции на своей территории, исполняет требования и соблюдает  принципы внедрения Стандарта.</w:t>
      </w:r>
      <w:r w:rsidR="001D407E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14:paraId="39C80505" w14:textId="5A17EC21" w:rsidR="006444DB" w:rsidRPr="00DC6E8B" w:rsidRDefault="00153BBA" w:rsidP="006444DB">
      <w:pPr>
        <w:pStyle w:val="Default"/>
        <w:jc w:val="both"/>
        <w:rPr>
          <w:sz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В сравнении с 202</w:t>
      </w:r>
      <w:r w:rsidR="00BA62D2">
        <w:rPr>
          <w:rFonts w:eastAsia="Times New Roman" w:cs="Times New Roman"/>
          <w:sz w:val="28"/>
          <w:szCs w:val="28"/>
          <w:lang w:val="ru-RU"/>
        </w:rPr>
        <w:t>1</w:t>
      </w:r>
      <w:r>
        <w:rPr>
          <w:rFonts w:eastAsia="Times New Roman" w:cs="Times New Roman"/>
          <w:sz w:val="28"/>
          <w:szCs w:val="28"/>
          <w:lang w:val="ru-RU"/>
        </w:rPr>
        <w:t xml:space="preserve"> годом р</w:t>
      </w:r>
      <w:r w:rsidR="001D407E">
        <w:rPr>
          <w:rFonts w:eastAsia="Times New Roman" w:cs="Times New Roman"/>
          <w:sz w:val="28"/>
          <w:szCs w:val="28"/>
          <w:lang w:val="ru-RU"/>
        </w:rPr>
        <w:t>айон у</w:t>
      </w:r>
      <w:r>
        <w:rPr>
          <w:rFonts w:eastAsia="Times New Roman" w:cs="Times New Roman"/>
          <w:sz w:val="28"/>
          <w:szCs w:val="28"/>
          <w:lang w:val="ru-RU"/>
        </w:rPr>
        <w:t>х</w:t>
      </w:r>
      <w:r w:rsidR="001D407E">
        <w:rPr>
          <w:rFonts w:eastAsia="Times New Roman" w:cs="Times New Roman"/>
          <w:sz w:val="28"/>
          <w:szCs w:val="28"/>
          <w:lang w:val="ru-RU"/>
        </w:rPr>
        <w:t>у</w:t>
      </w:r>
      <w:r>
        <w:rPr>
          <w:rFonts w:eastAsia="Times New Roman" w:cs="Times New Roman"/>
          <w:sz w:val="28"/>
          <w:szCs w:val="28"/>
          <w:lang w:val="ru-RU"/>
        </w:rPr>
        <w:t>дш</w:t>
      </w:r>
      <w:r w:rsidR="001D407E">
        <w:rPr>
          <w:rFonts w:eastAsia="Times New Roman" w:cs="Times New Roman"/>
          <w:sz w:val="28"/>
          <w:szCs w:val="28"/>
          <w:lang w:val="ru-RU"/>
        </w:rPr>
        <w:t xml:space="preserve">ил свои показатели, с </w:t>
      </w:r>
      <w:r w:rsidR="00BA62D2">
        <w:rPr>
          <w:rFonts w:eastAsia="Times New Roman" w:cs="Times New Roman"/>
          <w:sz w:val="28"/>
          <w:szCs w:val="28"/>
          <w:lang w:val="ru-RU"/>
        </w:rPr>
        <w:t>4</w:t>
      </w:r>
      <w:r w:rsidR="001D407E">
        <w:rPr>
          <w:rFonts w:eastAsia="Times New Roman" w:cs="Times New Roman"/>
          <w:sz w:val="28"/>
          <w:szCs w:val="28"/>
          <w:lang w:val="ru-RU"/>
        </w:rPr>
        <w:t xml:space="preserve"> места за 20</w:t>
      </w:r>
      <w:r>
        <w:rPr>
          <w:rFonts w:eastAsia="Times New Roman" w:cs="Times New Roman"/>
          <w:sz w:val="28"/>
          <w:szCs w:val="28"/>
          <w:lang w:val="ru-RU"/>
        </w:rPr>
        <w:t>2</w:t>
      </w:r>
      <w:r w:rsidR="00BA62D2">
        <w:rPr>
          <w:rFonts w:eastAsia="Times New Roman" w:cs="Times New Roman"/>
          <w:sz w:val="28"/>
          <w:szCs w:val="28"/>
          <w:lang w:val="ru-RU"/>
        </w:rPr>
        <w:t>1</w:t>
      </w:r>
      <w:r w:rsidR="001D407E">
        <w:rPr>
          <w:rFonts w:eastAsia="Times New Roman" w:cs="Times New Roman"/>
          <w:sz w:val="28"/>
          <w:szCs w:val="28"/>
          <w:lang w:val="ru-RU"/>
        </w:rPr>
        <w:t xml:space="preserve"> год на </w:t>
      </w:r>
      <w:r w:rsidR="00BA62D2">
        <w:rPr>
          <w:rFonts w:eastAsia="Times New Roman" w:cs="Times New Roman"/>
          <w:sz w:val="28"/>
          <w:szCs w:val="28"/>
          <w:lang w:val="ru-RU"/>
        </w:rPr>
        <w:t>8</w:t>
      </w:r>
      <w:r w:rsidR="001D407E">
        <w:rPr>
          <w:rFonts w:eastAsia="Times New Roman" w:cs="Times New Roman"/>
          <w:sz w:val="28"/>
          <w:szCs w:val="28"/>
          <w:lang w:val="ru-RU"/>
        </w:rPr>
        <w:t xml:space="preserve"> место за 202</w:t>
      </w:r>
      <w:r w:rsidR="00BA62D2">
        <w:rPr>
          <w:rFonts w:eastAsia="Times New Roman" w:cs="Times New Roman"/>
          <w:sz w:val="28"/>
          <w:szCs w:val="28"/>
          <w:lang w:val="ru-RU"/>
        </w:rPr>
        <w:t>2</w:t>
      </w:r>
      <w:r w:rsidR="001D407E">
        <w:rPr>
          <w:rFonts w:eastAsia="Times New Roman" w:cs="Times New Roman"/>
          <w:sz w:val="28"/>
          <w:szCs w:val="28"/>
          <w:lang w:val="ru-RU"/>
        </w:rPr>
        <w:t xml:space="preserve"> год. Необходи</w:t>
      </w:r>
      <w:r w:rsidR="00DC6E8B">
        <w:rPr>
          <w:rFonts w:eastAsia="Times New Roman" w:cs="Times New Roman"/>
          <w:sz w:val="28"/>
          <w:szCs w:val="28"/>
          <w:lang w:val="ru-RU"/>
        </w:rPr>
        <w:t>мо подвести предварительные итоги выполнения показателей Дорожной карты по содействию развитию конкуренции в Атяшевском муниципальном районе по итогам 9 месяцев и ожидаемые за 202</w:t>
      </w:r>
      <w:r w:rsidR="00BA62D2">
        <w:rPr>
          <w:rFonts w:eastAsia="Times New Roman" w:cs="Times New Roman"/>
          <w:sz w:val="28"/>
          <w:szCs w:val="28"/>
          <w:lang w:val="ru-RU"/>
        </w:rPr>
        <w:t>3</w:t>
      </w:r>
      <w:r w:rsidR="00DC6E8B">
        <w:rPr>
          <w:rFonts w:eastAsia="Times New Roman" w:cs="Times New Roman"/>
          <w:sz w:val="28"/>
          <w:szCs w:val="28"/>
          <w:lang w:val="ru-RU"/>
        </w:rPr>
        <w:t xml:space="preserve"> год</w:t>
      </w:r>
      <w:r w:rsidR="006B6FF3">
        <w:rPr>
          <w:rFonts w:eastAsia="Times New Roman" w:cs="Times New Roman"/>
          <w:sz w:val="28"/>
          <w:szCs w:val="28"/>
          <w:lang w:val="ru-RU"/>
        </w:rPr>
        <w:t xml:space="preserve">. Результаты подведения предварительных итогов </w:t>
      </w:r>
      <w:r w:rsidR="00DC6E8B">
        <w:rPr>
          <w:rFonts w:eastAsia="Times New Roman" w:cs="Times New Roman"/>
          <w:sz w:val="28"/>
          <w:szCs w:val="28"/>
          <w:lang w:val="ru-RU"/>
        </w:rPr>
        <w:t xml:space="preserve">рассмотреть </w:t>
      </w:r>
      <w:r w:rsidR="006B6FF3">
        <w:rPr>
          <w:rFonts w:eastAsia="Times New Roman" w:cs="Times New Roman"/>
          <w:sz w:val="28"/>
          <w:szCs w:val="28"/>
          <w:lang w:val="ru-RU"/>
        </w:rPr>
        <w:t>в октябре 202</w:t>
      </w:r>
      <w:r w:rsidR="00BA62D2">
        <w:rPr>
          <w:rFonts w:eastAsia="Times New Roman" w:cs="Times New Roman"/>
          <w:sz w:val="28"/>
          <w:szCs w:val="28"/>
          <w:lang w:val="ru-RU"/>
        </w:rPr>
        <w:t>3</w:t>
      </w:r>
      <w:r w:rsidR="006B6FF3">
        <w:rPr>
          <w:rFonts w:eastAsia="Times New Roman" w:cs="Times New Roman"/>
          <w:sz w:val="28"/>
          <w:szCs w:val="28"/>
          <w:lang w:val="ru-RU"/>
        </w:rPr>
        <w:t xml:space="preserve"> года </w:t>
      </w:r>
      <w:r w:rsidR="00DC6E8B">
        <w:rPr>
          <w:rFonts w:eastAsia="Times New Roman" w:cs="Times New Roman"/>
          <w:sz w:val="28"/>
          <w:szCs w:val="28"/>
          <w:lang w:val="ru-RU"/>
        </w:rPr>
        <w:t xml:space="preserve">на заседании рабочей </w:t>
      </w:r>
      <w:r w:rsidR="00DC6E8B" w:rsidRPr="00DC6E8B">
        <w:rPr>
          <w:rFonts w:eastAsia="Times New Roman" w:cs="Times New Roman"/>
          <w:sz w:val="28"/>
          <w:szCs w:val="28"/>
          <w:lang w:val="ru-RU"/>
        </w:rPr>
        <w:t>группы</w:t>
      </w:r>
      <w:r w:rsidR="00DC6E8B" w:rsidRPr="00DC6E8B">
        <w:rPr>
          <w:sz w:val="28"/>
          <w:lang w:val="ru-RU"/>
        </w:rPr>
        <w:t xml:space="preserve"> по разработке и реализации Плана мероприятий («дорожной карты») Атяшевского муниципального района по содействию развитию конкуренции</w:t>
      </w:r>
      <w:r w:rsidR="006B6FF3">
        <w:rPr>
          <w:sz w:val="28"/>
          <w:lang w:val="ru-RU"/>
        </w:rPr>
        <w:t xml:space="preserve">. </w:t>
      </w:r>
    </w:p>
    <w:p w14:paraId="497575AB" w14:textId="77777777" w:rsidR="006444DB" w:rsidRDefault="006444DB" w:rsidP="006444DB">
      <w:pPr>
        <w:pStyle w:val="Default"/>
        <w:jc w:val="both"/>
        <w:rPr>
          <w:sz w:val="28"/>
          <w:szCs w:val="28"/>
          <w:lang w:val="ru-RU"/>
        </w:rPr>
      </w:pPr>
    </w:p>
    <w:p w14:paraId="1B260873" w14:textId="77777777" w:rsidR="00CA3779" w:rsidRDefault="00CA3779" w:rsidP="00CA3779">
      <w:pPr>
        <w:pStyle w:val="Default"/>
        <w:jc w:val="both"/>
        <w:rPr>
          <w:sz w:val="28"/>
          <w:szCs w:val="28"/>
          <w:lang w:val="ru-RU"/>
        </w:rPr>
      </w:pPr>
    </w:p>
    <w:p w14:paraId="44032426" w14:textId="2DF13FB7" w:rsidR="002C7F63" w:rsidRDefault="002C7F63" w:rsidP="00CA3779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>Председатель рабочей группы                                                     М.С. Алешина</w:t>
      </w:r>
    </w:p>
    <w:p w14:paraId="2F62CF77" w14:textId="77777777" w:rsidR="001D407E" w:rsidRDefault="001D407E" w:rsidP="002C7F63">
      <w:pPr>
        <w:pStyle w:val="Default"/>
        <w:jc w:val="both"/>
        <w:rPr>
          <w:sz w:val="28"/>
          <w:lang w:val="ru-RU"/>
        </w:rPr>
      </w:pPr>
    </w:p>
    <w:p w14:paraId="47B00625" w14:textId="1B4E8C23" w:rsidR="002C7F63" w:rsidRPr="003C3D10" w:rsidRDefault="002C7F63" w:rsidP="002C7F63">
      <w:pPr>
        <w:pStyle w:val="Default"/>
        <w:jc w:val="both"/>
        <w:rPr>
          <w:lang w:val="ru-RU"/>
        </w:rPr>
      </w:pPr>
      <w:r>
        <w:rPr>
          <w:sz w:val="28"/>
          <w:lang w:val="ru-RU"/>
        </w:rPr>
        <w:t xml:space="preserve">Секретарь                                                                                       Т.В. Волкова                                                                      </w:t>
      </w:r>
    </w:p>
    <w:p w14:paraId="46E888A4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1CED531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6D59BEE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BCBDF36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73F0E15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90C11F3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2F19545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9C58F3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2B14AD6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34D9366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21C8C5D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C41C39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1F98912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D0C2BE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6FD8894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76D54B5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8576D6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4D0D1DD3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B3E08FD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D151377" w14:textId="5C98A73A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7544498" w14:textId="26D863F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567FF862" w14:textId="0668B8E6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7A89F53E" w14:textId="19923360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8C9BA6D" w14:textId="0E01A531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702B081D" w14:textId="3DE32D0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F436658" w14:textId="67BA2106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A91C1F6" w14:textId="74CAF1F3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28B0F396" w14:textId="277D822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4F70902" w14:textId="64214859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BE16821" w14:textId="4164A61C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D455E35" w14:textId="793BEF84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0B609A1C" w14:textId="1404E117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A3BFCAF" w14:textId="0A598A70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28209B65" w14:textId="05F627B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F5E6FE5" w14:textId="77777777" w:rsidR="002C7F63" w:rsidRP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0D0692C4" w14:textId="77777777" w:rsidR="00F442A7" w:rsidRDefault="00F442A7" w:rsidP="00F442A7">
      <w:pPr>
        <w:pStyle w:val="Default"/>
        <w:jc w:val="both"/>
        <w:rPr>
          <w:sz w:val="28"/>
          <w:lang w:val="ru-RU"/>
        </w:rPr>
      </w:pPr>
    </w:p>
    <w:p w14:paraId="64441F31" w14:textId="17F8E2D2" w:rsidR="003B7780" w:rsidRPr="00915D39" w:rsidRDefault="00F442A7" w:rsidP="00B3301C">
      <w:pPr>
        <w:pStyle w:val="Default"/>
        <w:jc w:val="both"/>
        <w:rPr>
          <w:rFonts w:cs="Times New Roman"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</w:t>
      </w:r>
    </w:p>
    <w:p w14:paraId="246D8D4B" w14:textId="77777777" w:rsidR="00343E0C" w:rsidRPr="004376DC" w:rsidRDefault="00343E0C" w:rsidP="004376DC"/>
    <w:sectPr w:rsidR="00343E0C" w:rsidRPr="004376DC" w:rsidSect="003065C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53636"/>
    <w:multiLevelType w:val="multilevel"/>
    <w:tmpl w:val="C924F61C"/>
    <w:lvl w:ilvl="0">
      <w:start w:val="1"/>
      <w:numFmt w:val="decimal"/>
      <w:lvlText w:val="%1."/>
      <w:lvlJc w:val="left"/>
      <w:pPr>
        <w:ind w:left="1527" w:hanging="9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3A047D"/>
    <w:multiLevelType w:val="multilevel"/>
    <w:tmpl w:val="E05227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E219F"/>
    <w:multiLevelType w:val="hybridMultilevel"/>
    <w:tmpl w:val="18003702"/>
    <w:lvl w:ilvl="0" w:tplc="5DAAB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B57FF9"/>
    <w:multiLevelType w:val="hybridMultilevel"/>
    <w:tmpl w:val="3FD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27161"/>
    <w:multiLevelType w:val="hybridMultilevel"/>
    <w:tmpl w:val="9CCEFA3E"/>
    <w:lvl w:ilvl="0" w:tplc="AB36C85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0A257C9"/>
    <w:multiLevelType w:val="hybridMultilevel"/>
    <w:tmpl w:val="6086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59358">
    <w:abstractNumId w:val="0"/>
  </w:num>
  <w:num w:numId="2" w16cid:durableId="1228229125">
    <w:abstractNumId w:val="1"/>
  </w:num>
  <w:num w:numId="3" w16cid:durableId="791248367">
    <w:abstractNumId w:val="2"/>
  </w:num>
  <w:num w:numId="4" w16cid:durableId="1397437218">
    <w:abstractNumId w:val="5"/>
  </w:num>
  <w:num w:numId="5" w16cid:durableId="450051326">
    <w:abstractNumId w:val="3"/>
  </w:num>
  <w:num w:numId="6" w16cid:durableId="969943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78B"/>
    <w:rsid w:val="00007CC0"/>
    <w:rsid w:val="000208E2"/>
    <w:rsid w:val="000C2609"/>
    <w:rsid w:val="00153BBA"/>
    <w:rsid w:val="001755A5"/>
    <w:rsid w:val="00182596"/>
    <w:rsid w:val="001D407E"/>
    <w:rsid w:val="001D7B0E"/>
    <w:rsid w:val="002C7F63"/>
    <w:rsid w:val="00343E0C"/>
    <w:rsid w:val="00350BAB"/>
    <w:rsid w:val="00354572"/>
    <w:rsid w:val="003B7780"/>
    <w:rsid w:val="003D3BE8"/>
    <w:rsid w:val="003E3093"/>
    <w:rsid w:val="004376DC"/>
    <w:rsid w:val="005A278B"/>
    <w:rsid w:val="00621729"/>
    <w:rsid w:val="00624BC5"/>
    <w:rsid w:val="00640151"/>
    <w:rsid w:val="006444DB"/>
    <w:rsid w:val="006758AB"/>
    <w:rsid w:val="006B6FF3"/>
    <w:rsid w:val="00915D39"/>
    <w:rsid w:val="00AE3596"/>
    <w:rsid w:val="00AF3FE7"/>
    <w:rsid w:val="00B306A1"/>
    <w:rsid w:val="00B3301C"/>
    <w:rsid w:val="00B877E5"/>
    <w:rsid w:val="00BA5E15"/>
    <w:rsid w:val="00BA62D2"/>
    <w:rsid w:val="00C053C6"/>
    <w:rsid w:val="00C05D77"/>
    <w:rsid w:val="00C922F6"/>
    <w:rsid w:val="00CA3779"/>
    <w:rsid w:val="00CC6293"/>
    <w:rsid w:val="00D37BF2"/>
    <w:rsid w:val="00D42C67"/>
    <w:rsid w:val="00DB61D9"/>
    <w:rsid w:val="00DC6E8B"/>
    <w:rsid w:val="00DD175B"/>
    <w:rsid w:val="00E368AC"/>
    <w:rsid w:val="00EB02A1"/>
    <w:rsid w:val="00F442A7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BAB"/>
  <w15:docId w15:val="{A62AAF5D-70CE-4C9F-8DF4-0E61A59C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rsid w:val="003B778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3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32</cp:revision>
  <cp:lastPrinted>2022-01-28T06:44:00Z</cp:lastPrinted>
  <dcterms:created xsi:type="dcterms:W3CDTF">2018-07-11T13:22:00Z</dcterms:created>
  <dcterms:modified xsi:type="dcterms:W3CDTF">2023-08-29T11:43:00Z</dcterms:modified>
</cp:coreProperties>
</file>