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C89A" w14:textId="77777777" w:rsidR="002E2B8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Выписка</w:t>
      </w:r>
    </w:p>
    <w:p w14:paraId="0C2D82E8" w14:textId="77777777" w:rsidR="002E2B8D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протокола от 9 марта 2023 г. № 1/кс </w:t>
      </w:r>
    </w:p>
    <w:p w14:paraId="4903B248" w14:textId="77777777" w:rsidR="002E2B8D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Координационного совета по развитию конкуренции</w:t>
      </w:r>
    </w:p>
    <w:p w14:paraId="2DDB503F" w14:textId="77777777" w:rsidR="002E2B8D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Республике Мордовия </w:t>
      </w:r>
    </w:p>
    <w:p w14:paraId="51A23D6E" w14:textId="77777777" w:rsidR="002E2B8D" w:rsidRDefault="002E2B8D">
      <w:pPr>
        <w:spacing w:after="0" w:line="240" w:lineRule="auto"/>
        <w:rPr>
          <w:rFonts w:ascii="Times New Roman" w:hAnsi="Times New Roman"/>
          <w:sz w:val="28"/>
        </w:rPr>
      </w:pPr>
    </w:p>
    <w:p w14:paraId="581B75CF" w14:textId="77777777" w:rsidR="002E2B8D" w:rsidRDefault="002E2B8D">
      <w:pPr>
        <w:spacing w:after="0" w:line="240" w:lineRule="auto"/>
        <w:rPr>
          <w:rFonts w:ascii="Times New Roman" w:hAnsi="Times New Roman"/>
          <w:sz w:val="28"/>
        </w:rPr>
      </w:pPr>
    </w:p>
    <w:p w14:paraId="30835FAA" w14:textId="77777777" w:rsidR="002E2B8D" w:rsidRDefault="00000000">
      <w:pPr>
        <w:spacing w:after="0" w:line="240" w:lineRule="auto"/>
        <w:ind w:firstLine="709"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Председательствовал: </w:t>
      </w:r>
      <w:bookmarkStart w:id="0" w:name="__DdeLink__426_3794232608"/>
      <w:r>
        <w:rPr>
          <w:rFonts w:ascii="Times New Roman" w:hAnsi="Times New Roman"/>
          <w:color w:val="000000"/>
          <w:sz w:val="28"/>
        </w:rPr>
        <w:t>и.о. Министра экономики, торговли и предпринимательства Республики Мордовия – председатель Координационного совета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развитию конкуренции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Республике Мордовия </w:t>
      </w:r>
      <w:bookmarkEnd w:id="0"/>
      <w:r>
        <w:rPr>
          <w:rFonts w:ascii="Times New Roman" w:hAnsi="Times New Roman"/>
          <w:color w:val="000000"/>
          <w:sz w:val="28"/>
        </w:rPr>
        <w:t>Горин И.А.</w:t>
      </w:r>
    </w:p>
    <w:p w14:paraId="3AF9D1F4" w14:textId="77777777" w:rsidR="002E2B8D" w:rsidRDefault="00000000">
      <w:pPr>
        <w:spacing w:after="0" w:line="240" w:lineRule="auto"/>
        <w:ind w:firstLine="709"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Присутствовали: </w:t>
      </w:r>
      <w:r>
        <w:rPr>
          <w:rFonts w:ascii="Times New Roman" w:hAnsi="Times New Roman"/>
          <w:sz w:val="28"/>
        </w:rPr>
        <w:t xml:space="preserve">члены Координационного совета по развитию конкуренции в Республике Мордовия: Алешина М.С., Анашкин П.М., </w:t>
      </w:r>
      <w:proofErr w:type="spellStart"/>
      <w:r>
        <w:rPr>
          <w:rFonts w:ascii="Times New Roman" w:hAnsi="Times New Roman"/>
          <w:sz w:val="28"/>
        </w:rPr>
        <w:t>Аросланкина</w:t>
      </w:r>
      <w:proofErr w:type="spellEnd"/>
      <w:r>
        <w:rPr>
          <w:rFonts w:ascii="Times New Roman" w:hAnsi="Times New Roman"/>
          <w:sz w:val="28"/>
        </w:rPr>
        <w:t xml:space="preserve"> А.П., Бычков Н.В., Громов Г.А., Давыдова Н.М., Денисов М.П., Еремкин И.П., Захаров А.В., Игошева О.А., Колосков А.Ю., Купцов С.В., </w:t>
      </w:r>
      <w:proofErr w:type="spellStart"/>
      <w:r>
        <w:rPr>
          <w:rFonts w:ascii="Times New Roman" w:hAnsi="Times New Roman"/>
          <w:sz w:val="28"/>
        </w:rPr>
        <w:t>Ледяйкин</w:t>
      </w:r>
      <w:proofErr w:type="spellEnd"/>
      <w:r>
        <w:rPr>
          <w:rFonts w:ascii="Times New Roman" w:hAnsi="Times New Roman"/>
          <w:sz w:val="28"/>
        </w:rPr>
        <w:t xml:space="preserve"> Е.Е., Сенин П.В., Спиридонова И.Г., Черкасова Т.С., </w:t>
      </w:r>
      <w:proofErr w:type="spellStart"/>
      <w:r>
        <w:rPr>
          <w:rFonts w:ascii="Times New Roman" w:hAnsi="Times New Roman"/>
          <w:sz w:val="28"/>
        </w:rPr>
        <w:t>Юрченкова</w:t>
      </w:r>
      <w:proofErr w:type="spellEnd"/>
      <w:r>
        <w:rPr>
          <w:rFonts w:ascii="Times New Roman" w:hAnsi="Times New Roman"/>
          <w:sz w:val="28"/>
        </w:rPr>
        <w:t xml:space="preserve"> Е.М., кворум для проведения имеется.</w:t>
      </w:r>
    </w:p>
    <w:p w14:paraId="1CF84546" w14:textId="77777777" w:rsidR="002E2B8D" w:rsidRDefault="002E2B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B865AC7" w14:textId="77777777" w:rsidR="002E2B8D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пункту 2 «Об утверждении рейтинга муниципальных образований в Республике Мордовия и городского округа Саранск по развитию конкуренции и обеспечению условий для благоприятного инвестиционного климата за 2022 год» решили:</w:t>
      </w:r>
    </w:p>
    <w:p w14:paraId="6C558804" w14:textId="77777777" w:rsidR="002E2B8D" w:rsidRDefault="002E2B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4FE7E2" w14:textId="77777777" w:rsidR="002E2B8D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Утвердить рейтинг муниципальных образований в Республике Мордовия и городского округа Саранск по развитию конкуренции и по обеспечению условий для благоприятного инвестиционного климата за 2022 год:</w:t>
      </w:r>
    </w:p>
    <w:p w14:paraId="1C7F8845" w14:textId="77777777" w:rsidR="002E2B8D" w:rsidRDefault="002E2B8D">
      <w:pPr>
        <w:spacing w:after="0" w:line="240" w:lineRule="auto"/>
        <w:ind w:firstLine="795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"/>
        <w:gridCol w:w="3371"/>
        <w:gridCol w:w="2694"/>
        <w:gridCol w:w="2590"/>
      </w:tblGrid>
      <w:tr w:rsidR="002E2B8D" w14:paraId="436A314B" w14:textId="7777777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B7743" w14:textId="77777777" w:rsidR="002E2B8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E3B2805" w14:textId="77777777" w:rsidR="002E2B8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B2A20" w14:textId="77777777" w:rsidR="002E2B8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район, городской округ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BCD16" w14:textId="77777777" w:rsidR="002E2B8D" w:rsidRDefault="00000000">
            <w:pPr>
              <w:tabs>
                <w:tab w:val="left" w:pos="1476"/>
                <w:tab w:val="left" w:pos="193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Финальное значение комплексной оценки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7BF6D" w14:textId="77777777" w:rsidR="002E2B8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Ранг 2022 г. </w:t>
            </w:r>
          </w:p>
          <w:p w14:paraId="33078AF2" w14:textId="77777777" w:rsidR="002E2B8D" w:rsidRDefault="00000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(2021 г.)</w:t>
            </w:r>
          </w:p>
        </w:tc>
      </w:tr>
      <w:tr w:rsidR="002E2B8D" w14:paraId="0EA045BE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1D9BE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B4382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городской округ Саранск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9CB3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6A40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 (6)</w:t>
            </w:r>
          </w:p>
        </w:tc>
      </w:tr>
      <w:tr w:rsidR="002E2B8D" w14:paraId="219D89D0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03449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29914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Ардатовский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B775D3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15,1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FE629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2 (1)</w:t>
            </w:r>
          </w:p>
        </w:tc>
      </w:tr>
      <w:tr w:rsidR="002E2B8D" w14:paraId="0BC7FD93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CBF03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8B6BF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Рузаевский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7A35D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308D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(3)</w:t>
            </w:r>
          </w:p>
        </w:tc>
      </w:tr>
      <w:tr w:rsidR="002E2B8D" w14:paraId="28BAA8DD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7AA7A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3B507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Ромодановский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4BBEB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C8D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4 (2)</w:t>
            </w:r>
          </w:p>
        </w:tc>
      </w:tr>
      <w:tr w:rsidR="002E2B8D" w14:paraId="7F156199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CFF14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25F1B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Дубенский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77B87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D975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(5)</w:t>
            </w:r>
          </w:p>
        </w:tc>
      </w:tr>
      <w:tr w:rsidR="002E2B8D" w14:paraId="07F3CA2C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E33C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5233F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Большеберезниковский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60C84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FB9E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6 (11)</w:t>
            </w:r>
          </w:p>
        </w:tc>
      </w:tr>
      <w:tr w:rsidR="002E2B8D" w14:paraId="4887FC97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FB16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6B2AF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Лямбирский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1C8BA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69A7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 (7)</w:t>
            </w:r>
          </w:p>
        </w:tc>
      </w:tr>
      <w:tr w:rsidR="002E2B8D" w14:paraId="00276C7E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20D4A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4A0F5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Атяшевский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F9F03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FEE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8 (4)</w:t>
            </w:r>
          </w:p>
        </w:tc>
      </w:tr>
      <w:tr w:rsidR="002E2B8D" w14:paraId="541FEC64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9DF91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25D38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Ичалковский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F279D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F85E2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9 (10)</w:t>
            </w:r>
          </w:p>
        </w:tc>
      </w:tr>
      <w:tr w:rsidR="002E2B8D" w14:paraId="3EB5D304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CA87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8FDC2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Темниковский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BCB5A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13,1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5074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10 (12)</w:t>
            </w:r>
          </w:p>
        </w:tc>
      </w:tr>
      <w:tr w:rsidR="002E2B8D" w14:paraId="3C57D548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6D033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128C0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Старошайговский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52A71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D89D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11 (16)</w:t>
            </w:r>
          </w:p>
        </w:tc>
      </w:tr>
      <w:tr w:rsidR="002E2B8D" w14:paraId="6BA937CA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DEFA5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F412B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Чамзинский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3D93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42C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12 (14)</w:t>
            </w:r>
          </w:p>
        </w:tc>
      </w:tr>
      <w:tr w:rsidR="002E2B8D" w14:paraId="3EBF6D02" w14:textId="77777777">
        <w:tc>
          <w:tcPr>
            <w:tcW w:w="764" w:type="dxa"/>
            <w:tcBorders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E3C9D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8332B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Краснослободский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FD42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E791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 (13)</w:t>
            </w:r>
          </w:p>
        </w:tc>
      </w:tr>
      <w:tr w:rsidR="002E2B8D" w14:paraId="6B576451" w14:textId="77777777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5BC91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14.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FF485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Большеигнатовский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47718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B953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14 (8)</w:t>
            </w:r>
          </w:p>
        </w:tc>
      </w:tr>
      <w:tr w:rsidR="002E2B8D" w14:paraId="25A6A3DE" w14:textId="77777777">
        <w:tc>
          <w:tcPr>
            <w:tcW w:w="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055FD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F8761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Кочкуровский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95E1E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827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15 (9)</w:t>
            </w:r>
          </w:p>
        </w:tc>
      </w:tr>
      <w:tr w:rsidR="002E2B8D" w14:paraId="1733806E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946CE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E076F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Ковылкинский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FE273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F274E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16 (18)</w:t>
            </w:r>
          </w:p>
        </w:tc>
      </w:tr>
      <w:tr w:rsidR="002E2B8D" w14:paraId="49A5BD88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2AC11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FD32F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Инсарский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55EB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0FAA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17 (23)</w:t>
            </w:r>
          </w:p>
        </w:tc>
      </w:tr>
      <w:tr w:rsidR="002E2B8D" w14:paraId="66558CF8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4DCE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B633C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Торбеевский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ABC0E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34F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18 (15)</w:t>
            </w:r>
          </w:p>
        </w:tc>
      </w:tr>
      <w:tr w:rsidR="002E2B8D" w14:paraId="1DFE52BE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DEA7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9F342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Кадошкинский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262530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9,7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D5FBB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↑ </w:t>
            </w:r>
            <w:r>
              <w:rPr>
                <w:rFonts w:ascii="Times New Roman" w:hAnsi="Times New Roman"/>
                <w:b/>
                <w:sz w:val="28"/>
              </w:rPr>
              <w:t>19 (20)</w:t>
            </w:r>
          </w:p>
        </w:tc>
      </w:tr>
      <w:tr w:rsidR="002E2B8D" w14:paraId="557EE054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8F347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9C3BC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Теньгушевский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6CE14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9362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20 (19)</w:t>
            </w:r>
          </w:p>
        </w:tc>
      </w:tr>
      <w:tr w:rsidR="002E2B8D" w14:paraId="68EC2C83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0EC8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ED41B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Зубово-Полянский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BDA5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F15C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21 (17)</w:t>
            </w:r>
          </w:p>
        </w:tc>
      </w:tr>
      <w:tr w:rsidR="002E2B8D" w14:paraId="2006C5B6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4927A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439F2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Атюрьевский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FDAC6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99F2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 (22)</w:t>
            </w:r>
          </w:p>
        </w:tc>
      </w:tr>
      <w:tr w:rsidR="002E2B8D" w14:paraId="7C134D02" w14:textId="77777777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DBA711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509C0" w14:textId="77777777" w:rsidR="002E2B8D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Ельниковский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3C4AB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BD9F" w14:textId="77777777" w:rsidR="002E2B8D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↓ </w:t>
            </w:r>
            <w:r>
              <w:rPr>
                <w:rFonts w:ascii="Times New Roman" w:hAnsi="Times New Roman"/>
                <w:b/>
                <w:sz w:val="28"/>
              </w:rPr>
              <w:t>23 (21)</w:t>
            </w:r>
          </w:p>
        </w:tc>
      </w:tr>
    </w:tbl>
    <w:p w14:paraId="0B7E342D" w14:textId="77777777" w:rsidR="002E2B8D" w:rsidRDefault="002E2B8D">
      <w:pPr>
        <w:spacing w:after="0" w:line="240" w:lineRule="auto"/>
        <w:jc w:val="both"/>
      </w:pPr>
    </w:p>
    <w:p w14:paraId="03A44BF0" w14:textId="77777777" w:rsidR="002E2B8D" w:rsidRDefault="002E2B8D">
      <w:pPr>
        <w:spacing w:after="0" w:line="240" w:lineRule="auto"/>
        <w:rPr>
          <w:sz w:val="24"/>
        </w:rPr>
      </w:pPr>
    </w:p>
    <w:sectPr w:rsidR="002E2B8D">
      <w:pgSz w:w="11906" w:h="16838"/>
      <w:pgMar w:top="1134" w:right="851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8D"/>
    <w:rsid w:val="002E2B8D"/>
    <w:rsid w:val="0049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1CF9"/>
  <w15:docId w15:val="{BD439269-C60C-436A-A465-B8DD0590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  <w:sz w:val="22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A"/>
      <w:sz w:val="28"/>
    </w:rPr>
  </w:style>
  <w:style w:type="paragraph" w:customStyle="1" w:styleId="13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Абзац списка Знак"/>
    <w:link w:val="a7"/>
    <w:rPr>
      <w:rFonts w:ascii="Calibri" w:hAnsi="Calibri"/>
    </w:rPr>
  </w:style>
  <w:style w:type="character" w:customStyle="1" w:styleId="a7">
    <w:name w:val="Абзац списка Знак"/>
    <w:link w:val="a6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List Paragraph"/>
    <w:basedOn w:val="a"/>
    <w:link w:val="14"/>
    <w:pPr>
      <w:ind w:left="720"/>
      <w:contextualSpacing/>
    </w:pPr>
  </w:style>
  <w:style w:type="character" w:customStyle="1" w:styleId="14">
    <w:name w:val="Абзац списка Знак1"/>
    <w:basedOn w:val="1"/>
    <w:link w:val="a8"/>
    <w:rPr>
      <w:color w:val="00000A"/>
      <w:sz w:val="22"/>
    </w:rPr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color w:val="00000A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color w:val="00000A"/>
      <w:sz w:val="22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color w:val="00000A"/>
      <w:sz w:val="18"/>
    </w:rPr>
  </w:style>
  <w:style w:type="paragraph" w:styleId="a4">
    <w:name w:val="Body Text"/>
    <w:basedOn w:val="a"/>
    <w:link w:val="af"/>
    <w:pPr>
      <w:spacing w:after="140" w:line="288" w:lineRule="auto"/>
    </w:pPr>
  </w:style>
  <w:style w:type="character" w:customStyle="1" w:styleId="af">
    <w:name w:val="Основной текст Знак"/>
    <w:basedOn w:val="1"/>
    <w:link w:val="a4"/>
    <w:rPr>
      <w:color w:val="00000A"/>
      <w:sz w:val="22"/>
    </w:rPr>
  </w:style>
  <w:style w:type="paragraph" w:styleId="af0">
    <w:name w:val="List"/>
    <w:basedOn w:val="a4"/>
    <w:link w:val="af1"/>
  </w:style>
  <w:style w:type="character" w:customStyle="1" w:styleId="af1">
    <w:name w:val="Список Знак"/>
    <w:basedOn w:val="af"/>
    <w:link w:val="af0"/>
    <w:rPr>
      <w:color w:val="00000A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i/>
      <w:color w:val="00000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"/>
    <w:link w:val="af7"/>
    <w:rPr>
      <w:color w:val="00000A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2023-08-15T11:39:00Z</dcterms:created>
  <dcterms:modified xsi:type="dcterms:W3CDTF">2023-08-15T11:39:00Z</dcterms:modified>
</cp:coreProperties>
</file>