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sz w:val="28"/>
        </w:rPr>
      </w:pPr>
      <w:bookmarkStart w:id="1" w:name="_Hlk135664284"/>
    </w:p>
    <w:p w14:paraId="02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Обобщенная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информация об исполнении </w:t>
      </w:r>
      <w:r>
        <w:rPr>
          <w:rFonts w:ascii="Times New Roman" w:hAnsi="Times New Roman"/>
          <w:b w:val="1"/>
          <w:sz w:val="28"/>
        </w:rPr>
        <w:t xml:space="preserve">лицами, замещающими муниципальные должности </w:t>
      </w:r>
      <w:r>
        <w:rPr>
          <w:rFonts w:ascii="Times New Roman" w:hAnsi="Times New Roman"/>
          <w:b w:val="1"/>
          <w:sz w:val="28"/>
        </w:rPr>
        <w:t xml:space="preserve"> Совета депутатов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Атяшевского муниципального района Республики Мордовия</w:t>
      </w:r>
      <w:r>
        <w:rPr>
          <w:rFonts w:ascii="Times New Roman" w:hAnsi="Times New Roman"/>
          <w:b w:val="1"/>
          <w:sz w:val="28"/>
        </w:rPr>
        <w:t>,</w:t>
      </w:r>
      <w:bookmarkEnd w:id="1"/>
      <w:r>
        <w:rPr>
          <w:rFonts w:ascii="Times New Roman" w:hAnsi="Times New Roman"/>
          <w:b w:val="1"/>
          <w:sz w:val="28"/>
        </w:rPr>
        <w:t xml:space="preserve"> обязанности представить сведения о доходах, расходах, об имуществе и обязательствах имущественного характера</w:t>
      </w:r>
    </w:p>
    <w:p w14:paraId="03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04000000">
      <w:pPr>
        <w:widowControl w:val="1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 сентября 2024 года прошли дополнительные выборы депутатов в Совет депутатов </w:t>
      </w:r>
      <w:r>
        <w:rPr>
          <w:rFonts w:ascii="Times New Roman" w:hAnsi="Times New Roman"/>
          <w:sz w:val="28"/>
        </w:rPr>
        <w:t>Атяшевского муниципального района</w:t>
      </w:r>
      <w:r>
        <w:rPr>
          <w:rFonts w:ascii="Times New Roman" w:hAnsi="Times New Roman"/>
          <w:sz w:val="28"/>
        </w:rPr>
        <w:t xml:space="preserve"> Республики Мордовия  по четвертому одномандатному избирательному округу.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Депутатский мандат получил один депутат, который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установленные законодательством сроки </w:t>
      </w:r>
      <w:r>
        <w:rPr>
          <w:rFonts w:ascii="Times New Roman" w:hAnsi="Times New Roman"/>
          <w:sz w:val="28"/>
        </w:rPr>
        <w:t xml:space="preserve">предоставил сведения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</w:rPr>
        <w:t xml:space="preserve"> на себя, свою супругу  и несовершеннолетнего ребенка.</w:t>
      </w:r>
    </w:p>
    <w:p w14:paraId="05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06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07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08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09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0A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0B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0C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0D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0E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0F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10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11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12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13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14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15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16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17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18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19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1A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14:paraId="1B000000">
      <w:pPr>
        <w:widowControl w:val="1"/>
        <w:spacing w:after="0" w:line="360" w:lineRule="auto"/>
        <w:ind/>
        <w:jc w:val="both"/>
        <w:rPr>
          <w:rFonts w:ascii="PT Astra Serif" w:hAnsi="PT Astra Serif"/>
          <w:sz w:val="28"/>
        </w:rPr>
      </w:pPr>
    </w:p>
    <w:p w14:paraId="1C000000">
      <w:pPr>
        <w:widowControl w:val="1"/>
        <w:spacing w:after="0" w:line="360" w:lineRule="auto"/>
        <w:ind w:firstLine="708"/>
        <w:jc w:val="both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line="264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Таблицы (моноширинный)"/>
    <w:basedOn w:val="Style_1"/>
    <w:next w:val="Style_1"/>
    <w:link w:val="Style_9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9_ch" w:type="character">
    <w:name w:val="Таблицы (моноширинный)"/>
    <w:basedOn w:val="Style_1_ch"/>
    <w:link w:val="Style_9"/>
    <w:rPr>
      <w:rFonts w:ascii="Courier New" w:hAnsi="Courier New"/>
      <w:sz w:val="24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Цветовое выделение"/>
    <w:link w:val="Style_19_ch"/>
    <w:rPr>
      <w:b w:val="1"/>
      <w:color w:val="26282F"/>
    </w:rPr>
  </w:style>
  <w:style w:styleId="Style_19_ch" w:type="character">
    <w:name w:val="Цветовое выделение"/>
    <w:link w:val="Style_19"/>
    <w:rPr>
      <w:b w:val="1"/>
      <w:color w:val="26282F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2025-01-13T13:07:50Z</dcterms:created>
  <dcterms:modified xsi:type="dcterms:W3CDTF">2025-01-13T13:07:59Z</dcterms:modified>
</cp:coreProperties>
</file>